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6EF" w:rsidRPr="00FB7DA8" w:rsidRDefault="002126EF" w:rsidP="00FB7DA8">
      <w:pPr>
        <w:spacing w:line="264" w:lineRule="auto"/>
        <w:jc w:val="center"/>
        <w:rPr>
          <w:b/>
          <w:bCs/>
          <w:color w:val="000000"/>
          <w:spacing w:val="-12"/>
          <w:sz w:val="28"/>
          <w:szCs w:val="28"/>
        </w:rPr>
      </w:pPr>
      <w:r w:rsidRPr="00FB7DA8">
        <w:rPr>
          <w:b/>
          <w:bCs/>
          <w:color w:val="000000"/>
          <w:spacing w:val="-12"/>
          <w:sz w:val="28"/>
          <w:szCs w:val="28"/>
        </w:rPr>
        <w:t>MỞ ĐẦU</w:t>
      </w:r>
    </w:p>
    <w:p w:rsidR="002126EF" w:rsidRPr="00FB7DA8" w:rsidRDefault="002126EF" w:rsidP="00FB7DA8">
      <w:pPr>
        <w:spacing w:line="264" w:lineRule="auto"/>
        <w:ind w:firstLine="567"/>
        <w:jc w:val="both"/>
        <w:rPr>
          <w:b/>
          <w:bCs/>
          <w:color w:val="000000"/>
          <w:sz w:val="28"/>
          <w:szCs w:val="28"/>
        </w:rPr>
      </w:pPr>
    </w:p>
    <w:p w:rsidR="002126EF" w:rsidRPr="00FB7DA8" w:rsidRDefault="002126EF" w:rsidP="00FB7DA8">
      <w:pPr>
        <w:spacing w:line="264" w:lineRule="auto"/>
        <w:ind w:firstLine="567"/>
        <w:jc w:val="both"/>
        <w:rPr>
          <w:color w:val="000000"/>
          <w:sz w:val="28"/>
          <w:szCs w:val="28"/>
        </w:rPr>
      </w:pPr>
      <w:r w:rsidRPr="00FB7DA8">
        <w:rPr>
          <w:color w:val="000000"/>
          <w:sz w:val="28"/>
          <w:szCs w:val="28"/>
        </w:rPr>
        <w:t xml:space="preserve">Hội nhập kinh tế quốc tế đã trở thành một xu thế tất yếu của mọi nền kinh tế. Việt Nam cũng không nằm ngoài xu thế chung này. Thế nhưng quá trình hội nhập đâu chỉ có cơ hội mà còn có nhiều thử thách và khó khăn buộc chúng ta phải kiên trì và nỗ lực vượt qua. Một trong những thử thách của quá trình hội nhập là việc hoàn thiện hệ thống chuẩn mực kế toán để có thể hoàn thiện khuôn khổ pháp lý cho hoạt động kế toán của Việt Nam bắt nhịp kịp với sự hội nhập kế toán ở các nước có nền kinh tế thị trường và quan trọng hơn là tạo môi trường pháp lý cho hội nhập kinh tế, quốc tế và khu vực. </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xml:space="preserve">Các chuẩn mực kế toán Việt Nam hiện nay đang được xây dựng trên cơ sở các chuẩn mực kế toán quốc tế để tạo điều kiện cho quá trình hội nhập kinh tế quốc tế của Việt Nam được dễ dàng hơn. Tuy nhiên, do điều kiện kinh tế xã hội đặc thù của Việt Nam mà việc áp dụng toàn bộ các chuẩn mực kế toán quốc tế vào thực tiễn hoạt động kinh doanh ở Việt Nam là chưa thể thực hiện được. Chính nguyên nhân đú đó khiến cho các chuẩn mực kế toán Việt Nam dù được xây dựng trên cơ sở các chuẩn mực kế toán quốc tế vẫn có nhiều điểm khác biệt mang tính trọng yếu. </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Việc xem xét nghiên cứu những điểm khác biệt giữa các chuẩn mực kế toán Việt Nam và các chuẩn mực kế toán quốc tế nhằm giúp cho các doanh nghiệp có vốn đầu tư nước ngoài hoạt động ở Việt Nam có thể thấy được những sự khác biệt căn bản giữa hai hệ thống chuẩn mực kế toán, từ đó mà doanh nghiệp có thể dễ dàng thực hiện sự chuyển đổi từ báo cáo theo chuẩn mực kế toán Việt Nam sang báo cáo theo chuẩn mực kế toán quốc tế một cách dễ dàng hơn. Đồng thời khi nghiên cứu những khác biệt của chuẩn mực kế toán Việt Nam so với chuẩn mực kế toán quốc tế, chúng ta có thể rút ra được những vấn đề mà cần bổ sung, sửa đổi trong các chuẩn mực kế toán Việt Nam để từ đó hoàn thiện hơn hệ thống các chuẩn mực kế toán Việt Nam phục vụ cho mục đích hội nhập kinh tế. Bên cạnh đó nghiên cứu những sự khác biệt giữa các hệ thống chuẩn mực cũng góp phần cho công tác nghiên cứu và tìm hiểu về xu thế hài hòa hóa cỏc quy định kế toán đang diễn ra trên thế giới.</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xml:space="preserve">Đã có nhiều công trình, bài viết nghiên cứu về các chuẩn mực kế toán Việt Nam và các chuẩn mực kế toán Quốc tế như Giáo </w:t>
      </w:r>
      <w:r w:rsidRPr="00FB7DA8">
        <w:rPr>
          <w:i/>
          <w:iCs/>
          <w:color w:val="000000"/>
          <w:sz w:val="28"/>
          <w:szCs w:val="28"/>
        </w:rPr>
        <w:t>trình Chuẩn mực kế toán quốc tế</w:t>
      </w:r>
      <w:r w:rsidRPr="00FB7DA8">
        <w:rPr>
          <w:color w:val="000000"/>
          <w:sz w:val="28"/>
          <w:szCs w:val="28"/>
        </w:rPr>
        <w:t xml:space="preserve"> của GS.TS.NGND Ngô Thế Chi, TS Trương Thị Thủy, NXB Tài chính 2010; </w:t>
      </w:r>
      <w:r w:rsidRPr="00FB7DA8">
        <w:rPr>
          <w:i/>
          <w:iCs/>
          <w:color w:val="000000"/>
          <w:sz w:val="28"/>
          <w:szCs w:val="28"/>
        </w:rPr>
        <w:t>26 Chuẩn mực kế toán Việt Nam</w:t>
      </w:r>
      <w:r w:rsidRPr="00FB7DA8">
        <w:rPr>
          <w:color w:val="000000"/>
          <w:sz w:val="28"/>
          <w:szCs w:val="28"/>
        </w:rPr>
        <w:t xml:space="preserve"> của Bộ Tài chính, NXB Lao động 2013; </w:t>
      </w:r>
      <w:r w:rsidRPr="00FB7DA8">
        <w:rPr>
          <w:rStyle w:val="Emphasis"/>
          <w:color w:val="000000"/>
          <w:sz w:val="28"/>
          <w:szCs w:val="28"/>
        </w:rPr>
        <w:t xml:space="preserve">Sự hòa hợp giữa chuẩn mực kế toán Việt Nam và chuẩn mực kế toán quốc tế </w:t>
      </w:r>
      <w:r w:rsidRPr="00FB7DA8">
        <w:rPr>
          <w:rStyle w:val="Emphasis"/>
          <w:i w:val="0"/>
          <w:iCs w:val="0"/>
          <w:color w:val="000000"/>
          <w:sz w:val="28"/>
          <w:szCs w:val="28"/>
        </w:rPr>
        <w:t>của TS. Nguyễn Đăng Huy, Tạp chí Tài chính (2017);</w:t>
      </w:r>
      <w:r w:rsidRPr="00FB7DA8">
        <w:rPr>
          <w:color w:val="000000"/>
          <w:sz w:val="28"/>
          <w:szCs w:val="28"/>
        </w:rPr>
        <w:t>…song chưa có bài viết, hay công trình đi sâu nghiên cứu về khả năng áp dụng các chuẩn mực kế toán quốc tế ở Việt Nam. Với ý nghĩa đó Tôi lựa chọn đề tài nghiên cứu khả năng áp dụng chuẩn mực kế toán quốc tế ở Việt Nam làm tiểu luận học phần …………….Tiểu luận vận dụng phương pháp luận của chủ nghĩa duy vật biện chứng, duy vật lịch sử để nghiên cứu các vấn đề một cách vừa ở tính toàn diện vừa ở tính cụ thể, đảm bảo tính logic của vấn đề nghiên cứu.</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xml:space="preserve"> Sử dụng tổng hợp các phương pháp nghiên cứu như phương pháp qui nạp, diễn giải, phương pháp phân tích tổng hợp, phương pháp phân tích so sánh để phân tích vấn đề, so sánh, đánh giá và rút ra vấn đề.</w:t>
      </w: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ind w:firstLine="567"/>
        <w:jc w:val="center"/>
        <w:rPr>
          <w:color w:val="000000"/>
          <w:sz w:val="28"/>
          <w:szCs w:val="28"/>
        </w:rPr>
      </w:pPr>
    </w:p>
    <w:p w:rsidR="002126EF" w:rsidRPr="00FB7DA8" w:rsidRDefault="002126EF" w:rsidP="00FB7DA8">
      <w:pPr>
        <w:spacing w:line="264" w:lineRule="auto"/>
        <w:rPr>
          <w:color w:val="000000"/>
          <w:sz w:val="28"/>
          <w:szCs w:val="28"/>
        </w:rPr>
      </w:pPr>
    </w:p>
    <w:p w:rsidR="002126EF" w:rsidRPr="00FB7DA8" w:rsidRDefault="002126EF" w:rsidP="00FB7DA8">
      <w:pPr>
        <w:spacing w:line="264" w:lineRule="auto"/>
        <w:ind w:firstLine="567"/>
        <w:jc w:val="center"/>
        <w:rPr>
          <w:b/>
          <w:bCs/>
          <w:color w:val="000000"/>
          <w:sz w:val="28"/>
          <w:szCs w:val="28"/>
        </w:rPr>
      </w:pPr>
      <w:r w:rsidRPr="00FB7DA8">
        <w:rPr>
          <w:b/>
          <w:bCs/>
          <w:color w:val="000000"/>
          <w:sz w:val="28"/>
          <w:szCs w:val="28"/>
        </w:rPr>
        <w:t>NỘI DUNG</w:t>
      </w:r>
    </w:p>
    <w:p w:rsidR="002126EF" w:rsidRPr="00FB7DA8" w:rsidRDefault="002126EF" w:rsidP="00FB7DA8">
      <w:pPr>
        <w:spacing w:line="264" w:lineRule="auto"/>
        <w:ind w:firstLine="567"/>
        <w:jc w:val="both"/>
        <w:rPr>
          <w:color w:val="000000"/>
          <w:sz w:val="28"/>
          <w:szCs w:val="28"/>
        </w:rPr>
      </w:pPr>
    </w:p>
    <w:p w:rsidR="002126EF" w:rsidRPr="00FB7DA8" w:rsidRDefault="002126EF" w:rsidP="00FB7DA8">
      <w:pPr>
        <w:pStyle w:val="Heading1"/>
        <w:spacing w:before="0" w:after="0" w:line="264" w:lineRule="auto"/>
        <w:ind w:firstLine="720"/>
        <w:jc w:val="both"/>
        <w:rPr>
          <w:rFonts w:ascii="Times New Roman" w:hAnsi="Times New Roman" w:cs="Times New Roman"/>
          <w:color w:val="000000"/>
          <w:sz w:val="28"/>
          <w:szCs w:val="28"/>
        </w:rPr>
      </w:pPr>
      <w:bookmarkStart w:id="0" w:name="_Toc261404084"/>
      <w:r w:rsidRPr="00FB7DA8">
        <w:rPr>
          <w:rFonts w:ascii="Times New Roman" w:hAnsi="Times New Roman" w:cs="Times New Roman"/>
          <w:color w:val="000000"/>
          <w:sz w:val="28"/>
          <w:szCs w:val="28"/>
        </w:rPr>
        <w:t>I. Khái niệm và sự cần thiết phải có chuẩn mực kế toán:</w:t>
      </w:r>
      <w:bookmarkEnd w:id="0"/>
    </w:p>
    <w:p w:rsidR="002126EF" w:rsidRPr="00FB7DA8" w:rsidRDefault="002126EF" w:rsidP="00FB7DA8">
      <w:pPr>
        <w:pStyle w:val="Heading2"/>
        <w:spacing w:before="0" w:after="0" w:line="264" w:lineRule="auto"/>
        <w:ind w:firstLine="720"/>
        <w:jc w:val="both"/>
        <w:rPr>
          <w:rFonts w:ascii="Times New Roman" w:hAnsi="Times New Roman" w:cs="Times New Roman"/>
          <w:i w:val="0"/>
          <w:iCs w:val="0"/>
          <w:color w:val="000000"/>
        </w:rPr>
      </w:pPr>
      <w:bookmarkStart w:id="1" w:name="_Toc261404085"/>
      <w:r w:rsidRPr="00FB7DA8">
        <w:rPr>
          <w:rFonts w:ascii="Times New Roman" w:hAnsi="Times New Roman" w:cs="Times New Roman"/>
          <w:i w:val="0"/>
          <w:iCs w:val="0"/>
          <w:color w:val="000000"/>
        </w:rPr>
        <w:t>1. Khái niệm về chuẩn mực kế toán:</w:t>
      </w:r>
      <w:bookmarkEnd w:id="1"/>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 Theo điều 7, Luật kế toán năm 2015 thì “Chuẩn mực kế toán gồm những quy định và phương pháp kế toán cơ bản để lập báo cáo tài chính.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Chuẩn mực đạo đức nghề nghiệp kế toán gồm những quy định và hướng dẫn về nguyên tắc, nội dung áp dụng các tiêu chuẩn đạo đức nghề nghiệp đối với người làm kế toán, kế toán viên hành nghề, doanh nghiệp và hộkinh doanh dịch vụ kế toán.</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Bộ Tài chính quy định chuẩn mực kế toán, chuẩn mực đạo đức nghề nghiệp kế toán trên cơ sở chuẩn mực quốc tế về kế toán phù hợp với điều kiện cụ thể của Việt Nam.</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Kết cấu của một chuẩn mực kế toán gồm các phần sau :</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Mục đích của chuẩn mực</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Phạm vi của chuẩn mực</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Các định nghĩa sử dụng trong chuẩn mực</w:t>
      </w:r>
    </w:p>
    <w:p w:rsidR="002126EF" w:rsidRPr="00FB7DA8" w:rsidRDefault="002126EF" w:rsidP="00FB7DA8">
      <w:pPr>
        <w:spacing w:line="264" w:lineRule="auto"/>
        <w:ind w:firstLine="567"/>
        <w:jc w:val="both"/>
        <w:rPr>
          <w:color w:val="000000"/>
          <w:sz w:val="28"/>
          <w:szCs w:val="28"/>
        </w:rPr>
      </w:pPr>
      <w:r w:rsidRPr="00FB7DA8">
        <w:rPr>
          <w:color w:val="000000"/>
          <w:sz w:val="28"/>
          <w:szCs w:val="28"/>
        </w:rPr>
        <w:t>- Phần nội dung chính gồm các nguyên tắc, các phương pháp, các yêu cầu về lập và trình bày báo cáo tài chính</w:t>
      </w:r>
      <w:bookmarkStart w:id="2" w:name="_Toc261404086"/>
    </w:p>
    <w:p w:rsidR="002126EF" w:rsidRPr="00FB7DA8" w:rsidRDefault="002126EF" w:rsidP="00FB7DA8">
      <w:pPr>
        <w:spacing w:line="264" w:lineRule="auto"/>
        <w:ind w:firstLine="720"/>
        <w:jc w:val="both"/>
        <w:rPr>
          <w:b/>
          <w:bCs/>
          <w:color w:val="000000"/>
          <w:sz w:val="28"/>
          <w:szCs w:val="28"/>
        </w:rPr>
      </w:pPr>
      <w:r w:rsidRPr="00FB7DA8">
        <w:rPr>
          <w:b/>
          <w:bCs/>
          <w:color w:val="000000"/>
          <w:sz w:val="28"/>
          <w:szCs w:val="28"/>
        </w:rPr>
        <w:t>2. Sự cần thiết phải có chuẩn mực kế toán</w:t>
      </w:r>
      <w:bookmarkEnd w:id="2"/>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Mục đích chung của việc soạn thảo và ban hành các chuẩn mực kế toán là để thống nhất hoạt động kế toán trong một phạm vi địa lý (đó có thể là trong một quốc gia, trong một khu vực  hay trên toàn cầu). </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Nếu như không có chuẩn mực kế toán , các công ty sẽ sử dụng nhiều phương pháp khác nhau để lập và trình bày báo cáo tài chính của mình. Ví dụ nếu như không có chuẩn mực kế toán thì sẽ có công ty thì ghi nhận chi phí sửa chữa và bảo trì tài sản vào giá trị tài sản với lý do là  các chi phí đú giỳp tài sản duy trì được trạng thái hoạt động tốt và nhờ đó đem lại lợi ích kinh tế cho công ty. Thế nhưng sẽ có công ty lại lý luận rằng chi phí sửa chữa và bảo trì tài sản chỉ giúp cho tài sản duy trì trạng thái hiện tại chứ không làm tăng thêm lợi ích kinh tế từ tài sản. Do đó, công ty không ghi nhận chi phí đó vào giá trị tài sản. Mỗi công ty đều cho rằng lý luận của mỡnh đỳng và lập báo cáo tài chính theo những cách khác nhau. Và tất yếu, hai báo cáo tài chính của hai công ty không thể đem ra so sánh với nhau được do chúng không được lập trên cùng một cơ  sở. </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Không chỉ có thế, việc thiếu một bộ chuẩn mực kế toán sẽ là cơ hội cho các công ty sử dụng các thủ pháp kế toán để làm đẹp báo cáo tài chính. Các công ty thậm chí có thể biến tình trạng thua lỗ của công ty thành có lãi. </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Việc thiếu chuẩn mực kế toán cũng tạo cơ hội cho các công ty được tùy ý trình bày các thông tin có liên quan đến các đối tượng kế toán trên báo cáo tài chính. Công ty có thể giấu diếm các thông tin bất lợi cho mình và chỉ trình bày những thông tin có lợi cho mình.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Chớnh vì những vấn đề trên, người sử dụng báo cáo tài chính sẽ không thể đưa ra một quyết định kinh tế hợp lý dựa vào các thông tin trên báo cáo tài chính được. Ví dụ như nhà đầu tư không thể đưa ra quyết định chọn lựa công ty nào để đầu tư vốn. Ngân hàng không thể đánh giá được khả năng trả nợ của các công ty trong quá trình thẩm định tín dụng  để quyết định nên cho công ty nào vay. Các cơ quan thuế có thể thu không đủ thuế. Nhà Nước không thể đánh giá được một cách chính xác hiệu quả hoạt động kinh tế của các doanh nghiệp…</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Ngoài ra, việc có một bộ chuẩn mực kế toán cũng giúp ích cho người sử dụng báo cáo tài chính  trong việc đọc và phân tích các báo cáo tài chính được dễ dàng hơn. Người sử dụng báo cáo tài chính có thể hiểu được cấu trúc của báo cáo tài chính, bản chẩt của các chỉ tiêu trên báo cáo tài chính, hiểu được các thuyết minh báo cáo tài chính bằng cách đọc các chuẩn mực kế toán. Từ đó, người sử dụng báo cáo tài chính mới có thể đưa ra các phân tích chính xác về hiệu quả hoạt động của công ty.</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Một lợi ích nữa mà người sử dụng báo cáo tài chính có thể thu được từ các chuẩn mực kế toán đó là sự đảm bảo rằng  các công ty và các kiểm toán viên thực hiện việc kiểm toán báo cáo tài chính đã tuân thủ các chuẩn mực kế toán trong quá trình thực hiện nhiệm vụ của mình. Người sử dụng có thể không có kiến thức về kế toán cũng như  không đủ khả năng để hiểu được các chuẩn mực kế toán nhưng nếu họ nghi ngờ về tính trung thực và hợp lý của các báo cáo tài chính thì họ có thể thuê một tổ chức chuyên nghiệp để kiểm định việc tuân thủ các chuẩn mực kế toán của ban giám đốc các công ty cũng như của các kiểm toán viên có liên quan. Như vậy, việc ban hành các chuẩn mực kế toán là một cách để tăng thêm lòng tin cho người sử dụng báo cáo tài chính đối với các báo cáo tài chính và ngăn ngừa nguy cơ gian lận trong việc lập và trình bày báo cáo tài chính.</w:t>
      </w:r>
    </w:p>
    <w:p w:rsidR="002126EF" w:rsidRPr="00FB7DA8" w:rsidRDefault="002126EF" w:rsidP="00FB7DA8">
      <w:pPr>
        <w:pStyle w:val="Heading2"/>
        <w:spacing w:before="0" w:after="0" w:line="264" w:lineRule="auto"/>
        <w:ind w:firstLine="720"/>
        <w:jc w:val="both"/>
        <w:rPr>
          <w:rFonts w:ascii="Times New Roman" w:hAnsi="Times New Roman" w:cs="Times New Roman"/>
          <w:i w:val="0"/>
          <w:iCs w:val="0"/>
          <w:color w:val="000000"/>
        </w:rPr>
      </w:pPr>
      <w:bookmarkStart w:id="3" w:name="_Toc261404087"/>
      <w:r w:rsidRPr="00FB7DA8">
        <w:rPr>
          <w:rFonts w:ascii="Times New Roman" w:hAnsi="Times New Roman" w:cs="Times New Roman"/>
          <w:i w:val="0"/>
          <w:iCs w:val="0"/>
          <w:color w:val="000000"/>
        </w:rPr>
        <w:t>3. Phân loại chuẩn mực kế toán:</w:t>
      </w:r>
      <w:bookmarkEnd w:id="3"/>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Hiện nay trên thế giới đang có hai hệ thống chuẩn mực là chuẩn mực kế toán quốc tế và chuẩn mực kế toán quốc gia. </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Các chuẩn mực kế toán quốc gia được soạn thảo và ban hành theo những cơ chế rất khác nhau ở mỗi nước. Do mỗi nước có điều kiện kinh tế và chính trị rất khác nhau nờn cỏc chuẩn mực kế toán giữa các nước có nhiều sự khác biệt. </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Chuẩn mực kế toán quốc tế được soạn thảo và ban hành bởi Hội đồng chuẩn mực kế toán quốc tế (IASB). Mục đích của việc ban hành chuẩn mực kế toán quốc tế là để tạo ra một sự hài hòa quốc tế trong lĩnh vực kế toán, để giảm bớt các chi phí của việc các báo cáo tài chính được lập và trình bày theo những chuẩn mực kế toán có nhiều khác biệt giữa các nước. Các chuẩn mực kế toán quốc tế sau một thời gian dài phát triển đã được đón nhận bởi nhiều nước trên thế giới. Xu hướng của các nước hiện nay là cố gắng đưa chuẩn mực quốc gia tiệm cận với các chuẩn mực kế toán quốc tế.</w:t>
      </w:r>
    </w:p>
    <w:p w:rsidR="002126EF" w:rsidRPr="00FB7DA8" w:rsidRDefault="002126EF" w:rsidP="00FB7DA8">
      <w:pPr>
        <w:pStyle w:val="Heading1"/>
        <w:spacing w:before="0" w:after="0" w:line="264" w:lineRule="auto"/>
        <w:ind w:firstLine="720"/>
        <w:jc w:val="both"/>
        <w:rPr>
          <w:rFonts w:ascii="Times New Roman" w:hAnsi="Times New Roman" w:cs="Times New Roman"/>
          <w:color w:val="000000"/>
          <w:sz w:val="28"/>
          <w:szCs w:val="28"/>
        </w:rPr>
      </w:pPr>
      <w:bookmarkStart w:id="4" w:name="_Toc259077502"/>
      <w:bookmarkStart w:id="5" w:name="_Toc259077547"/>
      <w:bookmarkStart w:id="6" w:name="_Toc261404088"/>
      <w:r w:rsidRPr="00FB7DA8">
        <w:rPr>
          <w:rFonts w:ascii="Times New Roman" w:hAnsi="Times New Roman" w:cs="Times New Roman"/>
          <w:color w:val="000000"/>
          <w:sz w:val="28"/>
          <w:szCs w:val="28"/>
        </w:rPr>
        <w:t>II. Chuẩn mực kế toán quốc tế:</w:t>
      </w:r>
      <w:bookmarkEnd w:id="4"/>
      <w:bookmarkEnd w:id="5"/>
      <w:bookmarkEnd w:id="6"/>
    </w:p>
    <w:p w:rsidR="002126EF" w:rsidRPr="00FB7DA8" w:rsidRDefault="002126EF" w:rsidP="00FB7DA8">
      <w:pPr>
        <w:pStyle w:val="Heading2"/>
        <w:spacing w:before="0" w:after="0" w:line="264" w:lineRule="auto"/>
        <w:ind w:firstLine="720"/>
        <w:jc w:val="both"/>
        <w:rPr>
          <w:rFonts w:ascii="Times New Roman" w:hAnsi="Times New Roman" w:cs="Times New Roman"/>
          <w:i w:val="0"/>
          <w:iCs w:val="0"/>
          <w:color w:val="000000"/>
        </w:rPr>
      </w:pPr>
      <w:bookmarkStart w:id="7" w:name="_Toc259077503"/>
      <w:bookmarkStart w:id="8" w:name="_Toc259077548"/>
      <w:bookmarkStart w:id="9" w:name="_Toc261404089"/>
      <w:r w:rsidRPr="00FB7DA8">
        <w:rPr>
          <w:rFonts w:ascii="Times New Roman" w:hAnsi="Times New Roman" w:cs="Times New Roman"/>
          <w:i w:val="0"/>
          <w:iCs w:val="0"/>
          <w:color w:val="000000"/>
        </w:rPr>
        <w:t>1. Lịch sử hình thành và phát triển của chuẩn mực kế toán thế giới:</w:t>
      </w:r>
      <w:bookmarkEnd w:id="7"/>
      <w:bookmarkEnd w:id="8"/>
      <w:bookmarkEnd w:id="9"/>
    </w:p>
    <w:p w:rsidR="002126EF" w:rsidRPr="00FB7DA8" w:rsidRDefault="002126EF" w:rsidP="00FB7DA8">
      <w:pPr>
        <w:pStyle w:val="Heading3"/>
        <w:spacing w:before="0" w:after="0" w:line="264" w:lineRule="auto"/>
        <w:ind w:firstLine="720"/>
        <w:jc w:val="both"/>
        <w:rPr>
          <w:rFonts w:ascii="Times New Roman" w:hAnsi="Times New Roman" w:cs="Times New Roman"/>
          <w:color w:val="000000"/>
          <w:sz w:val="28"/>
          <w:szCs w:val="28"/>
        </w:rPr>
      </w:pPr>
      <w:bookmarkStart w:id="10" w:name="_Toc261404090"/>
      <w:r w:rsidRPr="00FB7DA8">
        <w:rPr>
          <w:rFonts w:ascii="Times New Roman" w:hAnsi="Times New Roman" w:cs="Times New Roman"/>
          <w:color w:val="000000"/>
          <w:sz w:val="28"/>
          <w:szCs w:val="28"/>
        </w:rPr>
        <w:t>1.1. Sự cần thiết phải có chuẩn mực kế toán quốc tế và những rào cản đối với việc hình thành chuẩn mực kế toán quốc tế:</w:t>
      </w:r>
      <w:bookmarkEnd w:id="10"/>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Sự phát triển của kế toán ở các nước thường có sự khác nhau về các qui định và cách thức hạch toán kế toán cộng thêm sự khác biệt về hệ thống kinh tế và điều kiện thương mại giữa các nước dẫn đến sự khác nhau giữa các nước về mô hình và phương pháp kế toán.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Sự khác nhau này tạo nên nét đặc trưng của hệ thống kế toán mỗi quốc gia nhưng lại có ảnh hưởng tiêu cực đến hiệu quả của thị trường thế giới và có thể làm giảm sút khả năng hợp tác, tìm kiếm vốn để cạnh tranh một cách có hiệu quả. Trong xu thế hội nhập kinh tế quốc tế, sự tồn tại của hệ thống chuẩn mực kế toán quốc tế với vai trò là ngôn ngữ chung để làm cầu nối cho các nền kinh tế là một nhu cầu tất yếu.</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Tuy nhiên, rào cản đối với việc tạo lập các chuẩn mực kế toán chung là khá nhiều:</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Sự khác biệt trong mục đích sử dụng báo cáo tài chính giữa các nước : ở một số nước báo cáo tài chính chỉ đơn thuần được lập cho mục đích tính thuế, còn ở nước khác là để hỗ trợ cho quá trình ra quyết định của nhà đầu tư. Điều đó sẽ khiến cho yêu cầu trình bày báo cáo chi tiết đến mức độ nào và chi tiết những khoản mục nào là khác nhau giữa các nướcDo hệ thống pháp luật khác nhau dẫn đến sự hạn chế của một số hoạt động kế toán và điều này đương nhiên sẽ được phản ánh trong các chuẩn mực kế toán.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Mỗi nước có một quan điểm khác nhau về người sử dụng báo cáo tài chính và tầm quan trọng của họ. Như ở Mỹ thì nhà đầu tư và các tổ chức tín dung được đặt ưu tiên lên hàng đầu trong khi ở Châu Âu thì người lao động lại được quan tâm nhiều hơn.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Các nước đang phát triển hiển nhiên đang chậm chân hơn so với các nước đã phát triển trong việc soạn thảo các chuẩn mực kế toán. Có những quy tắc và những chuẩn mực cơ bản đã được ban hành từ lâu ở các nước đã phát triển thì nay mới chỉ được các nước đang phát triển tiến hành soạn thảo.</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Chủ nghĩa quốc gia cũng góp phần ngăn cản việc sử dụng các chuẩn mực kế toán của nước khác.</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Sự khác biệt về văn hóa khiến cho mục tiêu của hệ thống kế toán khác nhau giữa các nước</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Một vài nước phải ở vào trong những hoàn cảnh đặc biệt như siêu lạm phát, nội chiến, hạn chế lưu thông tiền tệ,… tác động tới mọi mặt của đời sống xã hội cũng như ảnh hưởng lớn tới các công ty khiến cho họ không thể lập được các báo cáo theo các tiêu chuẩn bình thường.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Một số nước không có một tổ chức kế toán độc lập đủ vững mạnh để tạo áp lực dư luận giúp cho việc soạn thảo các chuẩn mực kế toán tốt hơn và thúc đẩy sự hài hòa về các nguyên tắc kế toán giữa các quốc gia.</w:t>
      </w:r>
      <w:bookmarkStart w:id="11" w:name="_Toc261404091"/>
    </w:p>
    <w:p w:rsidR="002126EF" w:rsidRPr="00FB7DA8" w:rsidRDefault="002126EF" w:rsidP="00FB7DA8">
      <w:pPr>
        <w:pStyle w:val="ListParagraph"/>
        <w:spacing w:line="264" w:lineRule="auto"/>
        <w:ind w:left="0" w:firstLine="567"/>
        <w:jc w:val="both"/>
        <w:rPr>
          <w:b/>
          <w:bCs/>
          <w:color w:val="000000"/>
          <w:sz w:val="28"/>
          <w:szCs w:val="28"/>
        </w:rPr>
      </w:pPr>
      <w:r w:rsidRPr="00FB7DA8">
        <w:rPr>
          <w:b/>
          <w:bCs/>
          <w:color w:val="000000"/>
          <w:sz w:val="28"/>
          <w:szCs w:val="28"/>
        </w:rPr>
        <w:t>1.2. Sự hình thành và phát triển của tổ chức soạn thảo chuẩn mực kế toán quốc tế:</w:t>
      </w:r>
      <w:bookmarkStart w:id="12" w:name="_Toc261404092"/>
      <w:bookmarkEnd w:id="11"/>
    </w:p>
    <w:p w:rsidR="002126EF" w:rsidRPr="00FB7DA8" w:rsidRDefault="002126EF" w:rsidP="00FB7DA8">
      <w:pPr>
        <w:pStyle w:val="ListParagraph"/>
        <w:spacing w:line="264" w:lineRule="auto"/>
        <w:ind w:left="0" w:firstLine="567"/>
        <w:jc w:val="both"/>
        <w:rPr>
          <w:b/>
          <w:bCs/>
          <w:color w:val="000000"/>
          <w:sz w:val="28"/>
          <w:szCs w:val="28"/>
        </w:rPr>
      </w:pPr>
      <w:r w:rsidRPr="00FB7DA8">
        <w:rPr>
          <w:b/>
          <w:bCs/>
          <w:color w:val="000000"/>
          <w:sz w:val="28"/>
          <w:szCs w:val="28"/>
        </w:rPr>
        <w:t>1.2.1. Ủy ban xây dựng chuẩn mực kế toán quốc tế (IASC):</w:t>
      </w:r>
      <w:bookmarkStart w:id="13" w:name="_Toc261404093"/>
      <w:bookmarkEnd w:id="12"/>
    </w:p>
    <w:p w:rsidR="002126EF" w:rsidRPr="00FB7DA8" w:rsidRDefault="002126EF" w:rsidP="00FB7DA8">
      <w:pPr>
        <w:pStyle w:val="ListParagraph"/>
        <w:spacing w:line="264" w:lineRule="auto"/>
        <w:ind w:left="0" w:firstLine="567"/>
        <w:jc w:val="both"/>
        <w:rPr>
          <w:b/>
          <w:bCs/>
          <w:color w:val="000000"/>
          <w:sz w:val="28"/>
          <w:szCs w:val="28"/>
        </w:rPr>
      </w:pPr>
      <w:r w:rsidRPr="00FB7DA8">
        <w:rPr>
          <w:b/>
          <w:bCs/>
          <w:color w:val="000000"/>
          <w:sz w:val="28"/>
          <w:szCs w:val="28"/>
        </w:rPr>
        <w:t>1.2.1.1. Ra đời năm 1973 ở London, nước Anh</w:t>
      </w:r>
      <w:bookmarkEnd w:id="13"/>
      <w:r w:rsidRPr="00FB7DA8">
        <w:rPr>
          <w:b/>
          <w:bCs/>
          <w:color w:val="000000"/>
          <w:sz w:val="28"/>
          <w:szCs w:val="28"/>
        </w:rPr>
        <w:t>:</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Thế nhưng, bất chấp những rào cản kể trên, năm 1973, Ủy ban xây dựng chuẩn mực kế toán quốc tế (IASC) đã ra đời tại London, nước Anh với tư cách là tổ chức soạn thảo chuẩn mực quốc tế đầu tiên trên thế. Sự ra đời của IASC là kết quả của một thỏa thuận giữa các hiệp hội nghề nghiệp của các nước Autralia, Canada, Pháp, Đức, Nhật,Mexico, Phần Lan, Anh, Ireland và Mỹ.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IASC được thành lập trong một thời kỳ chứng nhiều biến động trong quy định kế toán. Ở Mỹ, hội đồng chuẩn mực kế toán tài chính (FASB) vừa mới được thành lập. Ở Anh, cơ quan soạn thảo chuẩn mực quốc gia đầu tiên ra đời (accounting standads committee – ASC). Trong khi đó, EU đang soạn thảo những điểm chính trong kế hoạch hài hòa hóa hệ thống kế toán của riêng mình (được đánh dấu bởi sự ra đời của chỉ thị số bốn (fourth directive) ban hành ngày 25/7/1978 bởi hội đồng liên minh Châu Âu). UN và OECD tại thời điểm này cũng vừa mới thành lập hội đồng kế toán của riêng mình.</w:t>
      </w:r>
    </w:p>
    <w:p w:rsidR="002126EF" w:rsidRPr="00FB7DA8" w:rsidRDefault="002126EF" w:rsidP="00FB7DA8">
      <w:pPr>
        <w:pStyle w:val="Heading3"/>
        <w:spacing w:before="0" w:after="0" w:line="264" w:lineRule="auto"/>
        <w:ind w:firstLine="540"/>
        <w:jc w:val="both"/>
        <w:rPr>
          <w:rFonts w:ascii="Times New Roman" w:hAnsi="Times New Roman" w:cs="Times New Roman"/>
          <w:color w:val="000000"/>
          <w:sz w:val="28"/>
          <w:szCs w:val="28"/>
        </w:rPr>
      </w:pPr>
      <w:bookmarkStart w:id="14" w:name="_Toc261404094"/>
      <w:r w:rsidRPr="00FB7DA8">
        <w:rPr>
          <w:rFonts w:ascii="Times New Roman" w:hAnsi="Times New Roman" w:cs="Times New Roman"/>
          <w:color w:val="000000"/>
          <w:sz w:val="28"/>
          <w:szCs w:val="28"/>
        </w:rPr>
        <w:t>1.2.1.2. Giai đoạn nỗ lực để tồn tại như một tổ chức độc lập với IFAC và duy trì vai trò là tổ chức duy nhất soạn thảo các chuẩn mực kế toán quốc tế :</w:t>
      </w:r>
      <w:bookmarkEnd w:id="14"/>
    </w:p>
    <w:p w:rsidR="002126EF" w:rsidRPr="00FB7DA8" w:rsidRDefault="002126EF" w:rsidP="00FB7DA8">
      <w:pPr>
        <w:pStyle w:val="ListParagraph"/>
        <w:spacing w:line="264" w:lineRule="auto"/>
        <w:ind w:left="0" w:firstLine="540"/>
        <w:jc w:val="both"/>
        <w:rPr>
          <w:color w:val="000000"/>
          <w:sz w:val="28"/>
          <w:szCs w:val="28"/>
        </w:rPr>
      </w:pPr>
      <w:r w:rsidRPr="00FB7DA8">
        <w:rPr>
          <w:color w:val="000000"/>
          <w:sz w:val="28"/>
          <w:szCs w:val="28"/>
        </w:rPr>
        <w:t xml:space="preserve">Đến năm 1977, Liên đoàn kế toán quốc tế (IFAC) được thành lập. IASC đã phải đấu tranh quyết liệt để kháng cự lại những nỗ lực muốn biến IASC thành thành viên của IFAC. Cuối cùng, IASC phải đi đến một nhượng bộ là dù cho IASB vẫn tồn tại độc lập với IFAC nhưng các thành viên của IFAC tự động trở thành viên của IASC và IFAC có thể đề cử thành viên cho cơ quan soạn thảo các chuẩn mực kế toán quốc tế. </w:t>
      </w:r>
    </w:p>
    <w:p w:rsidR="002126EF" w:rsidRPr="00FB7DA8" w:rsidRDefault="002126EF" w:rsidP="00FB7DA8">
      <w:pPr>
        <w:pStyle w:val="ListParagraph"/>
        <w:spacing w:line="264" w:lineRule="auto"/>
        <w:ind w:left="0" w:firstLine="540"/>
        <w:jc w:val="both"/>
        <w:rPr>
          <w:color w:val="000000"/>
          <w:sz w:val="28"/>
          <w:szCs w:val="28"/>
        </w:rPr>
      </w:pPr>
      <w:r w:rsidRPr="00FB7DA8">
        <w:rPr>
          <w:color w:val="000000"/>
          <w:sz w:val="28"/>
          <w:szCs w:val="28"/>
        </w:rPr>
        <w:t xml:space="preserve">Cả UN và OECD trong giai đoạn những năm 70 của thế kỷ 19 đều rất tích cực soạn thảo những nguyên tắc kế toán quốc tế. Thế nhưng, IASC đã thành công trong việc thuyết phục UN và OECD hãy để IASC soạn thảo những nguyên tắc quốc tế về ghi nhận và xác định giá trị của các đối tượng kế toán. </w:t>
      </w:r>
    </w:p>
    <w:p w:rsidR="002126EF" w:rsidRPr="00FB7DA8" w:rsidRDefault="002126EF" w:rsidP="00FB7DA8">
      <w:pPr>
        <w:pStyle w:val="ListParagraph"/>
        <w:tabs>
          <w:tab w:val="left" w:pos="3194"/>
        </w:tabs>
        <w:spacing w:line="264" w:lineRule="auto"/>
        <w:ind w:left="0" w:firstLine="567"/>
        <w:jc w:val="both"/>
        <w:rPr>
          <w:color w:val="000000"/>
          <w:sz w:val="28"/>
          <w:szCs w:val="28"/>
        </w:rPr>
      </w:pPr>
      <w:r w:rsidRPr="00FB7DA8">
        <w:rPr>
          <w:color w:val="000000"/>
          <w:sz w:val="28"/>
          <w:szCs w:val="28"/>
        </w:rPr>
        <w:t xml:space="preserve">Như vậy, IASC đã thành công trong việc duy trì vai trò của mình là tổ chức soạn thảo chuẩn mực kế toán quốc tế </w:t>
      </w:r>
      <w:r w:rsidRPr="00FB7DA8">
        <w:rPr>
          <w:b/>
          <w:bCs/>
          <w:i/>
          <w:iCs/>
          <w:color w:val="000000"/>
          <w:sz w:val="28"/>
          <w:szCs w:val="28"/>
        </w:rPr>
        <w:t>duy nhất</w:t>
      </w:r>
      <w:r w:rsidRPr="00FB7DA8">
        <w:rPr>
          <w:color w:val="000000"/>
          <w:sz w:val="28"/>
          <w:szCs w:val="28"/>
        </w:rPr>
        <w:t xml:space="preserve"> trên thế giới. Tuy nhiên, IASC lại gặp khó khăn trong việc thuyết phục mọi người sử dụng các chuẩn mực do chính mình soạn thảo ra. Dù cho các thành viên của IASC đã cam kết thúc đẩy việc sử dụng các chuẩn mực kế toán quốc tế ở mỗi quốc gia nhưng trên thực tế thì một số hiệp hội nghề nghiệp thành viên lại ít có ảnh hưởng trong việc soạn thảo các chuẩn mực kế toán quốc gia, một số hiệp hội thành viên lại ưa chuộng chuẩn mực kế toán của quốc gia mình hơn là những chuẩn mực kế toán do IASC soạn thảo và ban hành.</w:t>
      </w:r>
      <w:bookmarkStart w:id="15" w:name="_Toc261404095"/>
    </w:p>
    <w:p w:rsidR="002126EF" w:rsidRPr="00FB7DA8" w:rsidRDefault="002126EF" w:rsidP="00FB7DA8">
      <w:pPr>
        <w:pStyle w:val="ListParagraph"/>
        <w:tabs>
          <w:tab w:val="left" w:pos="3194"/>
        </w:tabs>
        <w:spacing w:line="264" w:lineRule="auto"/>
        <w:ind w:left="0" w:firstLine="567"/>
        <w:jc w:val="both"/>
        <w:rPr>
          <w:color w:val="000000"/>
          <w:sz w:val="28"/>
          <w:szCs w:val="28"/>
        </w:rPr>
      </w:pPr>
      <w:r w:rsidRPr="00FB7DA8">
        <w:rPr>
          <w:rStyle w:val="Heading3Char1"/>
          <w:rFonts w:ascii="Times New Roman" w:hAnsi="Times New Roman" w:cs="Times New Roman"/>
          <w:color w:val="000000"/>
          <w:sz w:val="28"/>
          <w:szCs w:val="28"/>
        </w:rPr>
        <w:t>1.2.1.3. Những nỗ lực tìm kiếm sự tiếp nhận của cộng đồng thế giới đối với những chuẩn mực  kế toán quốc tế của IASC</w:t>
      </w:r>
      <w:bookmarkEnd w:id="15"/>
      <w:r w:rsidRPr="00FB7DA8">
        <w:rPr>
          <w:color w:val="000000"/>
          <w:sz w:val="28"/>
          <w:szCs w:val="28"/>
        </w:rPr>
        <w:t>:</w:t>
      </w:r>
    </w:p>
    <w:p w:rsidR="002126EF" w:rsidRPr="00FB7DA8" w:rsidRDefault="002126EF" w:rsidP="00FB7DA8">
      <w:pPr>
        <w:pStyle w:val="ListParagraph"/>
        <w:tabs>
          <w:tab w:val="left" w:pos="3194"/>
        </w:tabs>
        <w:spacing w:line="264" w:lineRule="auto"/>
        <w:ind w:left="0" w:firstLine="567"/>
        <w:jc w:val="both"/>
        <w:rPr>
          <w:color w:val="000000"/>
          <w:sz w:val="28"/>
          <w:szCs w:val="28"/>
        </w:rPr>
      </w:pPr>
      <w:r w:rsidRPr="00FB7DA8">
        <w:rPr>
          <w:color w:val="000000"/>
          <w:sz w:val="28"/>
          <w:szCs w:val="28"/>
        </w:rPr>
        <w:t xml:space="preserve">Năm 1987 đánh dấu một bước chuyển mới trong nỗ lực thúc đẩy việc sử dụng các chuẩn mực quốc tế của IASC. Được sự ủng hộ và khích lệ từ ủy ban chứng khoán Mỹ (US SEC), tổng thư ký IASC, ông David Cairns, đã ký một thỏa thuận với tổ chức thế giới các ủy ban chứng khoán (IOSCO). Theo đó, IASC sẽ xem xét sửa đổi các chuẩn mực kế toán quốc tế hiện có của mình để có thể thỏa mãn nhu cầu của IOSCO là cần có một tập hợp các chuẩn mực làm cơ sở chung cho việc lập và trình bày báo cáo tài chính của các công ty muốn được niêm yết trên thị trường chứng khoán nước ngoài. </w:t>
      </w:r>
    </w:p>
    <w:p w:rsidR="002126EF" w:rsidRPr="00FB7DA8" w:rsidRDefault="002126EF" w:rsidP="00FB7DA8">
      <w:pPr>
        <w:pStyle w:val="ListParagraph"/>
        <w:tabs>
          <w:tab w:val="left" w:pos="3194"/>
        </w:tabs>
        <w:spacing w:line="264" w:lineRule="auto"/>
        <w:ind w:left="0" w:firstLine="567"/>
        <w:jc w:val="both"/>
        <w:rPr>
          <w:color w:val="000000"/>
          <w:sz w:val="28"/>
          <w:szCs w:val="28"/>
        </w:rPr>
      </w:pPr>
      <w:r w:rsidRPr="00FB7DA8">
        <w:rPr>
          <w:color w:val="000000"/>
          <w:sz w:val="28"/>
          <w:szCs w:val="28"/>
        </w:rPr>
        <w:t xml:space="preserve">IASC đã hoàn thành việc sửa đổi các chuẩn mực kế toán quốc tế vào năm 1993. Thế nhưng, IOSCO đã đưa ra một quyết định làm cho IASC vô cùng thất vọng. Thay vì sử dụng toàn bộ bộ chuẩn mực kế toán quốc tế do IASC soạn thảo, IOSCO chỉ lựa chọn một số chuẩn mực để áp dụng. </w:t>
      </w:r>
    </w:p>
    <w:p w:rsidR="002126EF" w:rsidRPr="00FB7DA8" w:rsidRDefault="002126EF" w:rsidP="00FB7DA8">
      <w:pPr>
        <w:pStyle w:val="ListParagraph"/>
        <w:tabs>
          <w:tab w:val="left" w:pos="3194"/>
        </w:tabs>
        <w:spacing w:line="264" w:lineRule="auto"/>
        <w:ind w:left="0" w:firstLine="567"/>
        <w:jc w:val="both"/>
        <w:rPr>
          <w:color w:val="000000"/>
          <w:sz w:val="28"/>
          <w:szCs w:val="28"/>
        </w:rPr>
      </w:pPr>
      <w:r w:rsidRPr="00FB7DA8">
        <w:rPr>
          <w:color w:val="000000"/>
          <w:sz w:val="28"/>
          <w:szCs w:val="28"/>
        </w:rPr>
        <w:t>Đến năm 1995, IASC với một ban lãnh đạo hoàn toàn mới đã tiến hành xem xét và sửa đổi một lần nữa các chuẩn mực kế toán quốc tế đã được ban hành với mong muốn khắc phục những khiếm khuyết trong các chuẩn mực kế toán đó. Lần này, với rất nhiều nỗ lực và nhượng bộ, bộ chuẩn mực kế toán quốc tế đã được sửa đổi của IASC đã được IOSCO chấp nhận vào phỳt chút nhưng đó chỉ mới là sự chấp nhận tạm thời.</w:t>
      </w:r>
    </w:p>
    <w:p w:rsidR="002126EF" w:rsidRPr="00FB7DA8" w:rsidRDefault="002126EF" w:rsidP="00FB7DA8">
      <w:pPr>
        <w:pStyle w:val="ListParagraph"/>
        <w:tabs>
          <w:tab w:val="left" w:pos="3194"/>
        </w:tabs>
        <w:spacing w:line="264" w:lineRule="auto"/>
        <w:ind w:left="0" w:firstLine="567"/>
        <w:jc w:val="both"/>
        <w:rPr>
          <w:color w:val="000000"/>
          <w:sz w:val="28"/>
          <w:szCs w:val="28"/>
        </w:rPr>
      </w:pPr>
      <w:r w:rsidRPr="00FB7DA8">
        <w:rPr>
          <w:color w:val="000000"/>
          <w:sz w:val="28"/>
          <w:szCs w:val="28"/>
        </w:rPr>
        <w:t>Cùng thời gian đó, IASC cũng quan tâm xem xét tới việc tổ chức lại cơ cấu của mình. Trong vòng 25 năm kể từ khi IASC được thành lập, mô hình soạn thảo chuẩn mực kế toán mà theo đó việc soạn thảo các chuẩn mực là do các hội nghề nghiệp đảm trách, đã và đang dần được thay thể bởi mô hình mới. Đó là mô hình mà việc soạn thảo các chuẩn mực kế toán được giao cho một hội  đồng quốc gia chuyên trách và độc lập thay vì cho một hội nghề nghiệp kế toán đảm trách. Sự chuyển đổi này có thể thấy ở Anh và Mỹ. Ở Mỹ, việc soạn thảo chuẩn mực kế toán được giao cho hội đồng chuẩn mực kế toán tài chính (FASB) thay vì cho hiệp hội kế toán công chứng Mỹ (AICPA). Còn ở Anh là giao cho ủy ban chuẩn mực kế toán (ASC) sau đổi thành hội đồng chuẩn mực kế toán (ASB) thay vì cho hiệp hội kế toán công chứng Anh (ACCA).</w:t>
      </w:r>
      <w:bookmarkStart w:id="16" w:name="_Toc261404096"/>
    </w:p>
    <w:p w:rsidR="002126EF" w:rsidRPr="00FB7DA8" w:rsidRDefault="002126EF" w:rsidP="00FB7DA8">
      <w:pPr>
        <w:pStyle w:val="ListParagraph"/>
        <w:tabs>
          <w:tab w:val="left" w:pos="3194"/>
        </w:tabs>
        <w:spacing w:line="264" w:lineRule="auto"/>
        <w:ind w:left="0" w:firstLine="567"/>
        <w:jc w:val="both"/>
        <w:rPr>
          <w:b/>
          <w:bCs/>
          <w:color w:val="000000"/>
          <w:sz w:val="28"/>
          <w:szCs w:val="28"/>
        </w:rPr>
      </w:pPr>
      <w:r w:rsidRPr="00FB7DA8">
        <w:rPr>
          <w:b/>
          <w:bCs/>
          <w:color w:val="000000"/>
          <w:sz w:val="28"/>
          <w:szCs w:val="28"/>
        </w:rPr>
        <w:t>1.2.1.4. Mốc son năm 2000:</w:t>
      </w:r>
      <w:bookmarkEnd w:id="16"/>
    </w:p>
    <w:p w:rsidR="002126EF" w:rsidRPr="00FB7DA8" w:rsidRDefault="002126EF" w:rsidP="00FB7DA8">
      <w:pPr>
        <w:pStyle w:val="ListParagraph"/>
        <w:tabs>
          <w:tab w:val="left" w:pos="3194"/>
        </w:tabs>
        <w:spacing w:line="264" w:lineRule="auto"/>
        <w:ind w:left="0" w:firstLine="540"/>
        <w:jc w:val="both"/>
        <w:rPr>
          <w:color w:val="000000"/>
          <w:sz w:val="28"/>
          <w:szCs w:val="28"/>
        </w:rPr>
      </w:pPr>
      <w:r w:rsidRPr="00FB7DA8">
        <w:rPr>
          <w:color w:val="000000"/>
          <w:sz w:val="28"/>
          <w:szCs w:val="28"/>
        </w:rPr>
        <w:t xml:space="preserve">Năm 2000 có thể nói là một năm có nhiều biến động với IASC. Tháng 5 năm 2000, các thành viên IOSCO đã bỏ phiếu chấp nhận chính thức tất cả các chuẩn mực kế toán quốc tế của IASC. Đây là một bước tiến đáng kể sau rất nhiều nỗ lực kiên trì và bền bỉ của các thành viên IASC với hai lần sửa đổi chuẩn mực kế toán kế toán quốc tế vào năm 1993 và 1995. Giấc mơ về một bộ chuẩn mực kế toán chung được sử dụng rộng rãi trên toàn thế giới đã có cơ hội được trở thành hiện thực bất chấp rất nhiều khó khăn và rào cản. IASC cuối cùng đã nhận được sự hậu thuẫn của các cơ quan quản lý chứng khoán toàn cầu thông qua IOSCO. </w:t>
      </w:r>
    </w:p>
    <w:p w:rsidR="002126EF" w:rsidRPr="00FB7DA8" w:rsidRDefault="002126EF" w:rsidP="00FB7DA8">
      <w:pPr>
        <w:pStyle w:val="ListParagraph"/>
        <w:tabs>
          <w:tab w:val="left" w:pos="3194"/>
        </w:tabs>
        <w:spacing w:line="264" w:lineRule="auto"/>
        <w:ind w:left="0" w:firstLine="540"/>
        <w:jc w:val="both"/>
        <w:rPr>
          <w:color w:val="000000"/>
          <w:sz w:val="28"/>
          <w:szCs w:val="28"/>
        </w:rPr>
      </w:pPr>
      <w:r w:rsidRPr="00FB7DA8">
        <w:rPr>
          <w:color w:val="000000"/>
          <w:sz w:val="28"/>
          <w:szCs w:val="28"/>
        </w:rPr>
        <w:t xml:space="preserve">Tháng 6 năm 2000, Cao Ủy Châu Âu đưa ra tuyên bố sẽ đưa việc sử dụng các chuẩn mực kế toán quốc tế của IASC trong việc lập trình và trình bày báo cáo tài chính làm điều kiện cho các công ty có ý định niêm yết chứng khoán tại bất kỳ nước thành viên nào của Liên Minh Châu Âu (EU). Đây là một thành công ngoài sự mong đợi của IASC. Kể từ thời điểm đó, EU đã trở thành một tổ chức có ảnh hưởng mạnh mẽ đối với tiến trình thúc đẩy sự tiếp nhận của cộng đồng thế giới đối với các chuẩn mực kế toán quốc tế. Quả thực, sự hậu thuẫn từng một thời là cứu cánh của IOSCO đối với IASC nay đã giảm bớt tầm quan trọng trước tuyên bố trên của Cao Ủy Châu Âu. </w:t>
      </w:r>
    </w:p>
    <w:p w:rsidR="002126EF" w:rsidRPr="00FB7DA8" w:rsidRDefault="002126EF" w:rsidP="00FB7DA8">
      <w:pPr>
        <w:pStyle w:val="ListParagraph"/>
        <w:tabs>
          <w:tab w:val="left" w:pos="3194"/>
        </w:tabs>
        <w:spacing w:line="264" w:lineRule="auto"/>
        <w:ind w:left="0" w:firstLine="540"/>
        <w:jc w:val="both"/>
        <w:rPr>
          <w:color w:val="000000"/>
          <w:sz w:val="28"/>
          <w:szCs w:val="28"/>
        </w:rPr>
      </w:pPr>
      <w:r w:rsidRPr="00FB7DA8">
        <w:rPr>
          <w:color w:val="000000"/>
          <w:sz w:val="28"/>
          <w:szCs w:val="28"/>
        </w:rPr>
        <w:t>Tiếp đú, thỏng 7 năm 2000, các thành viên của IASC đã bỏ phiếu tán thành chuyển đổi cơ cấu từ chỗ dựa trờn cỏc hiệp hội nghề nghiệp thành một hội đồng soạn thảo chuẩn mực kế toán chuyên trách và độc lập với các hội nghề nghiệp. Ủy ban xây dựng chuẩn mực kế toán quốc tế (IASC) chính thức đổi tên thành Hội đồng kế toán quốc tế (IASB).</w:t>
      </w:r>
      <w:bookmarkStart w:id="17" w:name="_Toc261404097"/>
    </w:p>
    <w:p w:rsidR="002126EF" w:rsidRPr="00FB7DA8" w:rsidRDefault="002126EF" w:rsidP="00FB7DA8">
      <w:pPr>
        <w:pStyle w:val="ListParagraph"/>
        <w:tabs>
          <w:tab w:val="left" w:pos="3194"/>
        </w:tabs>
        <w:spacing w:line="264" w:lineRule="auto"/>
        <w:ind w:left="0" w:firstLine="540"/>
        <w:jc w:val="both"/>
        <w:rPr>
          <w:b/>
          <w:bCs/>
          <w:color w:val="000000"/>
          <w:sz w:val="28"/>
          <w:szCs w:val="28"/>
        </w:rPr>
      </w:pPr>
      <w:r w:rsidRPr="00FB7DA8">
        <w:rPr>
          <w:b/>
          <w:bCs/>
          <w:color w:val="000000"/>
          <w:sz w:val="28"/>
          <w:szCs w:val="28"/>
        </w:rPr>
        <w:t>1.2.2. Hội đồng chuẩn mực kế toán quốc tế (IASB):</w:t>
      </w:r>
      <w:bookmarkEnd w:id="17"/>
      <w:r w:rsidRPr="00FB7DA8">
        <w:rPr>
          <w:b/>
          <w:bCs/>
          <w:color w:val="000000"/>
          <w:sz w:val="28"/>
          <w:szCs w:val="28"/>
        </w:rPr>
        <w:t xml:space="preserve">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Đến năm 2001, Hội đồng chuẩn mực kế toán quốc tế (IASB – International Accounting Standards Board) ra đời thay thế IASC và tồn tại cho đến ngày nay. Cấu trúc của IASB có những cơ quan như sau:</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Đứng đầu là Ban quản trị ủy ban xây dựng chuẩn mực kế toán quốc tế (IASC foundation). Đây là một pháp nhân độc lập gồm hai bộ phận – các ủy viên quản trị (trustee) và IASB. Ban quản trị ủy ban xây dựng chuẩn mực kế toán quốc tế là cơ quan nắm giữ bản quyền của các chuẩn mực kế toán quốc tế và các văn bản khác của IASB.</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Các ủy viên quản trị chỉ định các thành viên của IASB, thực hiện việc giám sát và gây quỹ  cần thiết. Còn IASB có toàn bộ trách nhiệm đối với việc soạn thảo các chuẩn mực kế toán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Ngoài ra, cơ cấu của IASB còn bao gồm hai cơ quan nữa là Hội đồng tư vấn chuẩn mực (Standards Advisory Council –SAC) và ủy ban giải thích các chuẩn mực kế toán quốc tế(International Financial Reporting Interpretations Committee – IFRI</w:t>
      </w: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r>
        <w:rPr>
          <w:noProof/>
        </w:rPr>
        <w:pict>
          <v:group id="_x0000_s1026" style="position:absolute;left:0;text-align:left;margin-left:-36.1pt;margin-top:-.45pt;width:510.35pt;height:341.55pt;z-index:251658240" coordorigin="725,7374" coordsize="10207,6831">
            <v:rect id="_x0000_s1027" style="position:absolute;left:6470;top:7374;width:3843;height:900">
              <v:textbox>
                <w:txbxContent>
                  <w:p w:rsidR="002126EF" w:rsidRPr="00D74622" w:rsidRDefault="002126EF" w:rsidP="00E5731F">
                    <w:r>
                      <w:t>Ban quản trị ủy ban xây dựng chuẩn mực kế toán quốc tế (22 ủy viên)</w:t>
                    </w:r>
                  </w:p>
                </w:txbxContent>
              </v:textbox>
            </v:rect>
            <v:rect id="_x0000_s1028" style="position:absolute;left:7089;top:8862;width:3843;height:649">
              <v:textbox>
                <w:txbxContent>
                  <w:p w:rsidR="002126EF" w:rsidRPr="00D74622" w:rsidRDefault="002126EF" w:rsidP="00E5731F">
                    <w:r>
                      <w:t>Hội đồng chuẩn mực kế toán quốc tế (14 thành viên)</w:t>
                    </w:r>
                  </w:p>
                </w:txbxContent>
              </v:textbox>
            </v:rect>
            <v:rect id="_x0000_s1029" style="position:absolute;left:8144;top:10271;width:2788;height:1085">
              <v:textbox>
                <w:txbxContent>
                  <w:p w:rsidR="002126EF" w:rsidRPr="00D74622" w:rsidRDefault="002126EF" w:rsidP="00E5731F">
                    <w:r>
                      <w:t>Ủy ban giải thích các chuẩn mực kế toán quốc tế (12 thành viên)</w:t>
                    </w:r>
                  </w:p>
                </w:txbxContent>
              </v:textbox>
            </v:rect>
            <v:rect id="_x0000_s1030" style="position:absolute;left:2345;top:10613;width:3376;height:457">
              <v:textbox>
                <w:txbxContent>
                  <w:p w:rsidR="002126EF" w:rsidRPr="00D74622" w:rsidRDefault="002126EF" w:rsidP="00E5731F">
                    <w:pPr>
                      <w:jc w:val="center"/>
                    </w:pPr>
                    <w:r>
                      <w:t>Hội đồng tư vấn chuẩn mực</w:t>
                    </w:r>
                  </w:p>
                </w:txbxContent>
              </v:textbox>
            </v:rect>
            <v:rect id="_x0000_s1031" style="position:absolute;left:725;top:8453;width:2815;height:1080">
              <v:textbox>
                <w:txbxContent>
                  <w:p w:rsidR="002126EF" w:rsidRDefault="002126EF" w:rsidP="00E5731F">
                    <w:pPr>
                      <w:jc w:val="center"/>
                    </w:pPr>
                    <w:r>
                      <w:t>Các tổ chức soạn thảo chuẩn mực kế toán quốc gia và các bên liên  quan</w:t>
                    </w:r>
                  </w:p>
                  <w:p w:rsidR="002126EF" w:rsidRPr="00D74622" w:rsidRDefault="002126EF" w:rsidP="00E5731F"/>
                </w:txbxContent>
              </v:textbox>
            </v:rect>
            <v:shapetype id="_x0000_t32" coordsize="21600,21600" o:spt="32" o:oned="t" path="m,l21600,21600e" filled="f">
              <v:path arrowok="t" fillok="f" o:connecttype="none"/>
              <o:lock v:ext="edit" shapetype="t"/>
            </v:shapetype>
            <v:shape id="_x0000_s1032" type="#_x0000_t32" style="position:absolute;left:4543;top:7826;width:1927;height:0;flip:x" o:connectortype="straight" strokecolor="red"/>
            <v:shape id="_x0000_s1033" type="#_x0000_t32" style="position:absolute;left:1265;top:9533;width:1;height:1285" o:connectortype="straight" strokecolor="#7030a0"/>
            <v:shape id="_x0000_s1034" type="#_x0000_t32" style="position:absolute;left:1265;top:10793;width:1080;height:0" o:connectortype="straight" strokecolor="#7030a0">
              <v:stroke endarrow="block"/>
            </v:shape>
            <v:shape id="_x0000_s1035" type="#_x0000_t32" style="position:absolute;left:5765;top:10793;width:2383;height:0" o:connectortype="straight" strokecolor="#0cf">
              <v:stroke endarrow="block"/>
            </v:shape>
            <v:shape id="_x0000_s1036" type="#_x0000_t32" style="position:absolute;left:9340;top:9511;width:3;height:760;flip:y" o:connectortype="straight" strokecolor="#92d050">
              <v:stroke endarrow="block"/>
            </v:shape>
            <v:shape id="_x0000_s1037" type="#_x0000_t32" style="position:absolute;left:9340;top:8241;width:3;height:621;flip:y" o:connectortype="straight" strokecolor="#92d050">
              <v:stroke endarrow="block"/>
            </v:shape>
            <v:rect id="_x0000_s1038" style="position:absolute;left:2885;top:11865;width:5172;height:2340">
              <v:textbox>
                <w:txbxContent>
                  <w:p w:rsidR="002126EF" w:rsidRDefault="002126EF" w:rsidP="00E5731F">
                    <w:pPr>
                      <w:spacing w:line="380" w:lineRule="atLeast"/>
                    </w:pPr>
                    <w:r>
                      <w:t>Chú thích</w:t>
                    </w:r>
                  </w:p>
                  <w:p w:rsidR="002126EF" w:rsidRDefault="002126EF" w:rsidP="00E5731F">
                    <w:pPr>
                      <w:spacing w:line="380" w:lineRule="atLeast"/>
                    </w:pPr>
                    <w:r>
                      <w:t xml:space="preserve">Bổ nhiệm                  </w:t>
                    </w:r>
                  </w:p>
                  <w:p w:rsidR="002126EF" w:rsidRDefault="002126EF" w:rsidP="00E5731F">
                    <w:pPr>
                      <w:spacing w:line="380" w:lineRule="atLeast"/>
                    </w:pPr>
                    <w:r>
                      <w:t xml:space="preserve">Báo cáo cho </w:t>
                    </w:r>
                  </w:p>
                  <w:p w:rsidR="002126EF" w:rsidRDefault="002126EF" w:rsidP="00E5731F">
                    <w:pPr>
                      <w:spacing w:line="380" w:lineRule="atLeast"/>
                    </w:pPr>
                    <w:r>
                      <w:t>Có liên hệ với</w:t>
                    </w:r>
                  </w:p>
                  <w:p w:rsidR="002126EF" w:rsidRDefault="002126EF" w:rsidP="00E5731F">
                    <w:pPr>
                      <w:spacing w:line="380" w:lineRule="atLeast"/>
                    </w:pPr>
                    <w:r>
                      <w:t xml:space="preserve">Tham vấn </w:t>
                    </w:r>
                  </w:p>
                  <w:p w:rsidR="002126EF" w:rsidRDefault="002126EF" w:rsidP="00E5731F"/>
                  <w:p w:rsidR="002126EF" w:rsidRPr="0059186C" w:rsidRDefault="002126EF" w:rsidP="00E5731F"/>
                </w:txbxContent>
              </v:textbox>
            </v:rect>
            <v:shape id="_x0000_s1039" type="#_x0000_t32" style="position:absolute;left:5405;top:12585;width:1977;height:10;flip:y" o:connectortype="straight" strokecolor="red">
              <v:stroke endarrow="block"/>
            </v:shape>
            <v:shape id="_x0000_s1040" type="#_x0000_t32" style="position:absolute;left:5405;top:12945;width:1977;height:10;flip:y" o:connectortype="straight" strokecolor="#92d050">
              <v:stroke endarrow="block"/>
            </v:shape>
            <v:shape id="_x0000_s1041" type="#_x0000_t32" style="position:absolute;left:5405;top:13305;width:1977;height:10;flip:y" o:connectortype="straight" strokecolor="#7030a0">
              <v:stroke endarrow="block"/>
            </v:shape>
            <v:shape id="_x0000_s1042" type="#_x0000_t32" style="position:absolute;left:5405;top:13665;width:1977;height:10;flip:y" o:connectortype="straight" strokecolor="#00b0f0">
              <v:stroke endarrow="block"/>
            </v:shape>
            <v:line id="_x0000_s1043" style="position:absolute;flip:x" from="4502,7800" to="4529,10614" strokecolor="red">
              <v:stroke endarrow="block"/>
            </v:line>
            <v:line id="_x0000_s1044" style="position:absolute" from="8105,8273" to="8105,8813" strokecolor="red">
              <v:stroke endarrow="block"/>
            </v:line>
            <v:line id="_x0000_s1045" style="position:absolute;flip:y" from="5045,8273" to="6485,10613" strokecolor="#0cf">
              <v:stroke endarrow="block"/>
            </v:line>
          </v:group>
        </w:pict>
      </w: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firstLine="567"/>
        <w:jc w:val="both"/>
        <w:rPr>
          <w:color w:val="000000"/>
          <w:sz w:val="28"/>
          <w:szCs w:val="28"/>
        </w:rPr>
      </w:pPr>
    </w:p>
    <w:p w:rsidR="002126EF" w:rsidRPr="00FB7DA8" w:rsidRDefault="002126EF" w:rsidP="00FB7DA8">
      <w:pPr>
        <w:pStyle w:val="ListParagraph"/>
        <w:tabs>
          <w:tab w:val="left" w:pos="3194"/>
        </w:tabs>
        <w:spacing w:line="264" w:lineRule="auto"/>
        <w:ind w:left="0"/>
        <w:jc w:val="both"/>
        <w:rPr>
          <w:color w:val="000000"/>
          <w:sz w:val="28"/>
          <w:szCs w:val="28"/>
        </w:rPr>
      </w:pPr>
    </w:p>
    <w:p w:rsidR="002126EF" w:rsidRPr="00FB7DA8" w:rsidRDefault="002126EF" w:rsidP="00FB7DA8">
      <w:pPr>
        <w:pStyle w:val="ListParagraph"/>
        <w:tabs>
          <w:tab w:val="left" w:pos="3194"/>
        </w:tabs>
        <w:spacing w:line="264" w:lineRule="auto"/>
        <w:ind w:left="0"/>
        <w:jc w:val="both"/>
        <w:rPr>
          <w:color w:val="000000"/>
          <w:sz w:val="28"/>
          <w:szCs w:val="28"/>
        </w:rPr>
      </w:pPr>
      <w:r w:rsidRPr="00FB7DA8">
        <w:rPr>
          <w:color w:val="000000"/>
          <w:sz w:val="28"/>
          <w:szCs w:val="28"/>
        </w:rPr>
        <w:tab/>
      </w:r>
    </w:p>
    <w:p w:rsidR="002126EF" w:rsidRPr="00FB7DA8" w:rsidRDefault="002126EF" w:rsidP="00FB7DA8">
      <w:pPr>
        <w:pStyle w:val="ListParagraph"/>
        <w:spacing w:line="264" w:lineRule="auto"/>
        <w:ind w:left="0" w:firstLine="567"/>
        <w:jc w:val="both"/>
        <w:rPr>
          <w:color w:val="000000"/>
          <w:sz w:val="28"/>
          <w:szCs w:val="28"/>
        </w:rPr>
      </w:pPr>
    </w:p>
    <w:p w:rsidR="002126EF" w:rsidRPr="00FB7DA8" w:rsidRDefault="002126EF" w:rsidP="00FB7DA8">
      <w:pPr>
        <w:pStyle w:val="ListParagraph"/>
        <w:tabs>
          <w:tab w:val="left" w:pos="5943"/>
        </w:tabs>
        <w:spacing w:line="264" w:lineRule="auto"/>
        <w:ind w:left="0" w:firstLine="567"/>
        <w:jc w:val="both"/>
        <w:rPr>
          <w:color w:val="000000"/>
          <w:sz w:val="28"/>
          <w:szCs w:val="28"/>
        </w:rPr>
      </w:pPr>
      <w:r w:rsidRPr="00FB7DA8">
        <w:rPr>
          <w:color w:val="000000"/>
          <w:sz w:val="28"/>
          <w:szCs w:val="28"/>
        </w:rPr>
        <w:tab/>
      </w:r>
    </w:p>
    <w:p w:rsidR="002126EF" w:rsidRPr="00FB7DA8" w:rsidRDefault="002126EF" w:rsidP="00FB7DA8">
      <w:pPr>
        <w:pStyle w:val="ListParagraph"/>
        <w:spacing w:line="264" w:lineRule="auto"/>
        <w:ind w:left="0" w:firstLine="567"/>
        <w:jc w:val="both"/>
        <w:rPr>
          <w:color w:val="000000"/>
          <w:sz w:val="28"/>
          <w:szCs w:val="28"/>
        </w:rPr>
      </w:pPr>
    </w:p>
    <w:p w:rsidR="002126EF" w:rsidRPr="00FB7DA8" w:rsidRDefault="002126EF" w:rsidP="00FB7DA8">
      <w:pPr>
        <w:pStyle w:val="ListParagraph"/>
        <w:spacing w:line="264" w:lineRule="auto"/>
        <w:ind w:left="0" w:firstLine="567"/>
        <w:jc w:val="both"/>
        <w:rPr>
          <w:color w:val="000000"/>
          <w:sz w:val="28"/>
          <w:szCs w:val="28"/>
        </w:rPr>
      </w:pPr>
    </w:p>
    <w:p w:rsidR="002126EF" w:rsidRPr="00FB7DA8" w:rsidRDefault="002126EF" w:rsidP="00FB7DA8">
      <w:pPr>
        <w:pStyle w:val="ListParagraph"/>
        <w:spacing w:line="264" w:lineRule="auto"/>
        <w:ind w:left="0" w:firstLine="567"/>
        <w:jc w:val="both"/>
        <w:rPr>
          <w:color w:val="000000"/>
          <w:sz w:val="28"/>
          <w:szCs w:val="28"/>
        </w:rPr>
      </w:pPr>
    </w:p>
    <w:p w:rsidR="002126EF" w:rsidRPr="00FB7DA8" w:rsidRDefault="002126EF" w:rsidP="00FB7DA8">
      <w:pPr>
        <w:pStyle w:val="ListParagraph"/>
        <w:spacing w:line="264" w:lineRule="auto"/>
        <w:ind w:left="0"/>
        <w:jc w:val="center"/>
        <w:rPr>
          <w:b/>
          <w:bCs/>
          <w:color w:val="000000"/>
          <w:sz w:val="28"/>
          <w:szCs w:val="28"/>
        </w:rPr>
      </w:pPr>
      <w:r w:rsidRPr="00FB7DA8">
        <w:rPr>
          <w:b/>
          <w:bCs/>
          <w:color w:val="000000"/>
          <w:sz w:val="28"/>
          <w:szCs w:val="28"/>
        </w:rPr>
        <w:t>Bảng  1 : Sơ đồ cấu trúc IASB</w:t>
      </w:r>
    </w:p>
    <w:p w:rsidR="002126EF" w:rsidRPr="00FB7DA8" w:rsidRDefault="002126EF" w:rsidP="00FB7DA8">
      <w:pPr>
        <w:pStyle w:val="ListParagraph"/>
        <w:spacing w:line="264" w:lineRule="auto"/>
        <w:ind w:left="0"/>
        <w:jc w:val="center"/>
        <w:rPr>
          <w:b/>
          <w:bCs/>
          <w:color w:val="000000"/>
          <w:sz w:val="28"/>
          <w:szCs w:val="28"/>
        </w:rPr>
      </w:pP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Các ủy viên quản trị (trustees) bao gồm một nhóm 20 người đến từ những khu vực địa lý khác nhau và có những kinh nghiệm hoạt động khác nhau. Các ủy viên quản trị bổ nhiệm thành viên của IASB, IFRIC, SAC. Bên cạnh việc giám sát IASC để đảm bảo hoạt động hiệu quả của ủy ban này và gây quỹ, các ủy viên quản trị còn phê chuẩn ngân sách của IASC và chịu trách nhiệm xem xét những thay đổi trong điều lệ hoạt động của hội đồng. Các ủy viên quản trị được bầu sao cho có 6 người đến từ Bắc Mỹ, 6 người đến từ Châu Âu, 4 người đến từ Châu Á Thái Bình Dương và 3 đến từ các khu vực khác để đảm bảo sự cân bằng địa lý.</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Hội đồng tư vấn chuẩn mực (Standards Advisory Council - SAC) tạo ra một cầu nối chính thức giúp cho các tổ chức và cá nhân khác, những người mà đến từ những khu vực địa lý khác nhau và có nền tảng học vấn đa dạng, được đưa ra những ý kiến góp ý cho hội đồng và cũng có thể là tư vấn cho các ủy viên quản trị. Hội đồng này bao gồm 15 thành viên và gặp nhau ít nhất 3 lần một năm. Hội đồng này được tham vấn bởi IASB trong những dự án quan trọng. Hội đồng cũng tư vấn cho IASB về những ưu tiên trong lịch trình hoạt động và tác động của các chuẩn mực được đề xuất có ảnh hưởng đến người sử dụng và  người lập báo cáo tài chính.</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Ủy ban giải thích chuẩn mực kế toán quốc tế (IFRIC) đưa ra những chỉ dẫn về cách áp dụng và giải thích các tiêu chuẩn báo cáo tài chính quốc tế. Ủy ban này chịu trách nhiệm về những vấn đề báo cáo tài chính mới xuất hiện mà chưa được nêu ra trong các tiêu chuẩn báo cáo tài chính quốc tế hoặc những vấn đề mà chưa có cách giải thích phù hợp hoặc có những sự giải thích trái ngược.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Trong quá trình hoạt động, hội đồng này đã sửa đổi, bổ sung một số chuẩn mực kế toán cũ, thay thế chuẩn mực kế toán cũ bằng những những chuẩn mực kế toán bằng trình bày báo cáo tài chính và ban hành một số chuẩn mực kế toán mới về những vấn đề chưa được đề cập trước đó.</w:t>
      </w:r>
    </w:p>
    <w:p w:rsidR="002126EF" w:rsidRPr="00FB7DA8" w:rsidRDefault="002126EF" w:rsidP="00FB7DA8">
      <w:pPr>
        <w:pStyle w:val="Heading3"/>
        <w:spacing w:before="0" w:after="0" w:line="264" w:lineRule="auto"/>
        <w:ind w:firstLine="720"/>
        <w:jc w:val="both"/>
        <w:rPr>
          <w:rFonts w:ascii="Times New Roman" w:hAnsi="Times New Roman" w:cs="Times New Roman"/>
          <w:color w:val="000000"/>
          <w:sz w:val="28"/>
          <w:szCs w:val="28"/>
        </w:rPr>
      </w:pPr>
      <w:bookmarkStart w:id="18" w:name="_Toc261404098"/>
      <w:r w:rsidRPr="00FB7DA8">
        <w:rPr>
          <w:rFonts w:ascii="Times New Roman" w:hAnsi="Times New Roman" w:cs="Times New Roman"/>
          <w:color w:val="000000"/>
          <w:sz w:val="28"/>
          <w:szCs w:val="28"/>
        </w:rPr>
        <w:t>1.3. Sự tiếp nhận của cộng đồng quốc tế đối với các chuẩn mực kế toán quốc tế:</w:t>
      </w:r>
      <w:bookmarkEnd w:id="18"/>
    </w:p>
    <w:p w:rsidR="002126EF" w:rsidRPr="00FB7DA8" w:rsidRDefault="002126EF" w:rsidP="00FB7DA8">
      <w:pPr>
        <w:pStyle w:val="ListParagraph"/>
        <w:spacing w:line="264" w:lineRule="auto"/>
        <w:ind w:left="0" w:firstLine="720"/>
        <w:jc w:val="both"/>
        <w:rPr>
          <w:color w:val="000000"/>
          <w:sz w:val="28"/>
          <w:szCs w:val="28"/>
        </w:rPr>
      </w:pPr>
      <w:r w:rsidRPr="00FB7DA8">
        <w:rPr>
          <w:color w:val="000000"/>
          <w:sz w:val="28"/>
          <w:szCs w:val="28"/>
        </w:rPr>
        <w:t>Ngoài hệ thống chuẩn mực kế toán quốc tế, mỗi quốc gia lại cho sự lựa chọn riêng để xây dựng hệ thống chuẩn mực kế toán của mỡnh. Cú quốc gia vận dụng 100% các chuẩn mực kế toán quốc tế mà không cần sự sửa đổi, bổ sung (như Nam Phi, Mông Cổ, Thụy Sỹ,…); có quốc gia tuy vận dụng 100% chuẩn mực kế toán quốc tế nhưng cú thờm phụ lục để bổ sung hoặc bớt đi một số nội dung (như Malaysia, Singapo,…); có quốc gia vận dụng có chọn lọc các nội dung của chuẩn mực kế toán quốc tế và sửa đổi bổ sung thêm để phù hợp với đặc điểm của nền kinh tế quốc gia mình (như Anh, Pháp, Việt Nam…) và có quốc gia tự xây dựng hệ thống chuẩn mực riờng khụng sử dụng chuẩn mực kế toán quốc tế (như Mỹ, Thái Lan,..).</w:t>
      </w:r>
    </w:p>
    <w:p w:rsidR="002126EF" w:rsidRPr="00FB7DA8" w:rsidRDefault="002126EF" w:rsidP="00FB7DA8">
      <w:pPr>
        <w:pStyle w:val="ListParagraph"/>
        <w:spacing w:line="264" w:lineRule="auto"/>
        <w:ind w:left="0" w:firstLine="720"/>
        <w:jc w:val="both"/>
        <w:rPr>
          <w:b/>
          <w:bCs/>
          <w:color w:val="000000"/>
          <w:sz w:val="28"/>
          <w:szCs w:val="28"/>
        </w:rPr>
      </w:pPr>
      <w:r w:rsidRPr="00FB7DA8">
        <w:rPr>
          <w:b/>
          <w:bCs/>
          <w:color w:val="000000"/>
          <w:sz w:val="28"/>
          <w:szCs w:val="28"/>
        </w:rPr>
        <w:t>2. Hệ thống chuẩn mực kế toán quốc tế hiện hành viết tắt là IAS.</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 Trình bầy báo cáo tài chính.</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 Hàng tồn kho.</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IAS7: Báo cáo lưu chuyển tiền tệ.</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IAS8: Lỗ, lãi dòng của cả kỳ, các lỗi cơ bản và thay đổi chế độ kế toán.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IAS10: Các sự kiện sảy ra sau ngày lập bảng tổng kết tài sản.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IAS11: Các hợp đồng xây dựng.</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IAS12: Thuế thu nhập.</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IAS14: Báo cáo bộ phận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IAS15: Thông tin phản ánh ảnh hưởng của biến động giá cả.</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IAS16: Bất động sản, xưởng và thiết bị.</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IAS17: Tài sản thuê.</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IAS18: Doanh thu.</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IAS19: Lợi ích trả cho công nhân viên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IAS20: Kế toán các khoản trợ cấp của chính phủ và công bố về trợ cấp chính phủ.</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IAS21: Ảnh hưởng do thay đổi tỷ giá hối đoái.</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IAS22: Hợp nhất kinh doanh.</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IAS23: Chi phí đi vay.</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IAS24: Công bố về các bên liên quan.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IAS25: Kế toán các khoản đầu tư.</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IAS26: Kế toán và báo cáo theo quỹ lợi ích hưu trí.</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IAS27: Báo cáo tài chính tổng hợp và kế toán các khoản đầu tư vào các công ty con.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IAS28: Kế toán các khoản đầu tư vào các công ty liên kết.</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IAS29: Báo cáo tài chính trong các nền kinh tế siêu lạm phát.</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IAS30: Nội dung công bố trong báo cáo tài chính của các ngân hàng và các tổ chức tín dụng giống nhau.</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IAS31: Báo cáo tài chính cho các khoản phân chia trong các liên doanh.</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IAS32: Các công cụ tài chính công bố và trình bầy.</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IAS33: Thu nhập trên một cổ phiếu.</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IAS34: Báo cáo tài chính tạm thời.</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IAS35: Hoạt động bị ngừng.</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IAS36: Giảm giá trị tài sản.</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IAS37: Các khoản dự phòng, nợ bất thường và tài sản bất thường.</w:t>
      </w:r>
    </w:p>
    <w:p w:rsidR="002126EF" w:rsidRPr="00FB7DA8" w:rsidRDefault="002126EF" w:rsidP="00FB7DA8">
      <w:pPr>
        <w:pStyle w:val="NormalWeb"/>
        <w:spacing w:before="0" w:beforeAutospacing="0" w:after="0" w:afterAutospacing="0" w:line="264" w:lineRule="auto"/>
        <w:ind w:firstLine="550"/>
        <w:jc w:val="both"/>
        <w:rPr>
          <w:color w:val="000000"/>
          <w:sz w:val="28"/>
          <w:szCs w:val="28"/>
        </w:rPr>
      </w:pPr>
      <w:r w:rsidRPr="00FB7DA8">
        <w:rPr>
          <w:color w:val="000000"/>
          <w:sz w:val="28"/>
          <w:szCs w:val="28"/>
        </w:rPr>
        <w:t>– IAS38: Tài sản phi vật chất.</w:t>
      </w:r>
    </w:p>
    <w:p w:rsidR="002126EF" w:rsidRPr="00FB7DA8" w:rsidRDefault="002126EF" w:rsidP="00FB7DA8">
      <w:pPr>
        <w:pStyle w:val="NormalWeb"/>
        <w:spacing w:before="0" w:beforeAutospacing="0" w:after="0" w:afterAutospacing="0" w:line="264" w:lineRule="auto"/>
        <w:ind w:firstLine="550"/>
        <w:jc w:val="both"/>
        <w:rPr>
          <w:color w:val="000000"/>
          <w:sz w:val="28"/>
          <w:szCs w:val="28"/>
        </w:rPr>
      </w:pPr>
      <w:r w:rsidRPr="00FB7DA8">
        <w:rPr>
          <w:color w:val="000000"/>
          <w:sz w:val="28"/>
          <w:szCs w:val="28"/>
        </w:rPr>
        <w:t>Việc áp dụng IFRS vào Việt Nam là yêu cầu khách quan, tất yếu trong quá trình phát triển và hội nhập kinh tế quốc tế. Thực tế, IFRS ngày càng được nhiều quốc gia và vùng lãnh thổ trên thế giới áp dụng hoặc cam kết áp dụng. Theo Ủy ban Chuẩn mực kế toán quốc tế, có 119/143 (chiếm tỷ lệ 83,2%) quốc gia và vùng lãnh thổ yêu cầu áp dụng IFRS.</w:t>
      </w:r>
    </w:p>
    <w:p w:rsidR="002126EF" w:rsidRPr="00FB7DA8" w:rsidRDefault="002126EF" w:rsidP="00FB7DA8">
      <w:pPr>
        <w:pStyle w:val="Heading2"/>
        <w:spacing w:before="0" w:after="0" w:line="264" w:lineRule="auto"/>
        <w:ind w:firstLine="550"/>
        <w:jc w:val="both"/>
        <w:rPr>
          <w:rFonts w:ascii="Times New Roman" w:hAnsi="Times New Roman" w:cs="Times New Roman"/>
          <w:i w:val="0"/>
          <w:iCs w:val="0"/>
          <w:color w:val="000000"/>
        </w:rPr>
      </w:pPr>
      <w:bookmarkStart w:id="19" w:name="_Toc259077504"/>
      <w:bookmarkStart w:id="20" w:name="_Toc259077549"/>
      <w:bookmarkStart w:id="21" w:name="_Toc261404099"/>
      <w:r w:rsidRPr="00FB7DA8">
        <w:rPr>
          <w:rFonts w:ascii="Times New Roman" w:hAnsi="Times New Roman" w:cs="Times New Roman"/>
          <w:i w:val="0"/>
          <w:iCs w:val="0"/>
          <w:color w:val="000000"/>
        </w:rPr>
        <w:t>3. Quy trình soạn thảo nờn cỏc chuẩn mực kế toán quốc tế</w:t>
      </w:r>
      <w:bookmarkEnd w:id="19"/>
      <w:bookmarkEnd w:id="20"/>
      <w:r w:rsidRPr="00FB7DA8">
        <w:rPr>
          <w:rFonts w:ascii="Times New Roman" w:hAnsi="Times New Roman" w:cs="Times New Roman"/>
          <w:i w:val="0"/>
          <w:iCs w:val="0"/>
          <w:color w:val="000000"/>
        </w:rPr>
        <w:t>:</w:t>
      </w:r>
      <w:bookmarkEnd w:id="21"/>
    </w:p>
    <w:p w:rsidR="002126EF" w:rsidRPr="00FB7DA8" w:rsidRDefault="002126EF" w:rsidP="00FB7DA8">
      <w:pPr>
        <w:spacing w:line="264" w:lineRule="auto"/>
        <w:ind w:firstLine="550"/>
        <w:jc w:val="both"/>
        <w:rPr>
          <w:color w:val="000000"/>
          <w:sz w:val="28"/>
          <w:szCs w:val="28"/>
        </w:rPr>
      </w:pPr>
      <w:r w:rsidRPr="00FB7DA8">
        <w:rPr>
          <w:color w:val="000000"/>
          <w:sz w:val="28"/>
          <w:szCs w:val="28"/>
        </w:rPr>
        <w:t>Chuẩn mực kế toán quốc tế được hình thành qua một hệ thống các quy trình chuẩn  và được sự tham vấn rộng rãi của cộng đồng quốc tế. Quy trình chuẩn cho việc soạn thảo một chuẩn mực kế toán quốc tế gồm các bước sau:</w:t>
      </w:r>
    </w:p>
    <w:p w:rsidR="002126EF" w:rsidRPr="00FB7DA8" w:rsidRDefault="002126EF" w:rsidP="00FB7DA8">
      <w:pPr>
        <w:pStyle w:val="ListParagraph"/>
        <w:spacing w:line="264" w:lineRule="auto"/>
        <w:ind w:left="0" w:firstLine="550"/>
        <w:jc w:val="both"/>
        <w:rPr>
          <w:color w:val="000000"/>
          <w:sz w:val="28"/>
          <w:szCs w:val="28"/>
        </w:rPr>
      </w:pPr>
      <w:r w:rsidRPr="00FB7DA8">
        <w:rPr>
          <w:b/>
          <w:bCs/>
          <w:color w:val="000000"/>
          <w:sz w:val="28"/>
          <w:szCs w:val="28"/>
        </w:rPr>
        <w:t>Bước 1</w:t>
      </w:r>
      <w:r w:rsidRPr="00FB7DA8">
        <w:rPr>
          <w:color w:val="000000"/>
          <w:sz w:val="28"/>
          <w:szCs w:val="28"/>
        </w:rPr>
        <w:t>: Các nhân viên của IASB sẽ nhận diện, xem xét và đề xuất các vấn đề mà có thể làm cho hội đồng quan tâm. Hội đồng sẽ thảo luận về các dự án tiềm năng và quyết định để theo đuổi một dự án phải được đưa ra trong một cuộc họp hội đồng công khai. Trước khi đi đến một quyết định như vậy, IASB sẽ tham vấn SAC để lên một lịch trình hoạt động và đặt ra các ưu tiên.</w:t>
      </w:r>
    </w:p>
    <w:p w:rsidR="002126EF" w:rsidRPr="00FB7DA8" w:rsidRDefault="002126EF" w:rsidP="00FB7DA8">
      <w:pPr>
        <w:pStyle w:val="ListParagraph"/>
        <w:spacing w:line="264" w:lineRule="auto"/>
        <w:ind w:left="0" w:firstLine="1320"/>
        <w:jc w:val="both"/>
        <w:rPr>
          <w:color w:val="000000"/>
          <w:sz w:val="28"/>
          <w:szCs w:val="28"/>
        </w:rPr>
      </w:pPr>
      <w:r>
        <w:rPr>
          <w:noProof/>
        </w:rPr>
      </w:r>
      <w:r w:rsidRPr="00DE0F5B">
        <w:rPr>
          <w:color w:val="000000"/>
          <w:sz w:val="28"/>
          <w:szCs w:val="28"/>
        </w:rPr>
        <w:pict>
          <v:group id="_x0000_s1046" editas="canvas" style="width:318pt;height:7in;mso-position-horizontal-relative:char;mso-position-vertical-relative:line" coordorigin="1658,8640" coordsize="5088,806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1658;top:8640;width:5088;height:8064" o:preferrelative="f">
              <v:fill o:detectmouseclick="t"/>
              <o:lock v:ext="edit" text="t"/>
            </v:shape>
            <v:rect id="_x0000_s1048" style="position:absolute;left:2522;top:9072;width:3456;height:576">
              <v:textbox>
                <w:txbxContent>
                  <w:p w:rsidR="002126EF" w:rsidRDefault="002126EF" w:rsidP="00E5731F">
                    <w:pPr>
                      <w:jc w:val="center"/>
                    </w:pPr>
                    <w:r>
                      <w:t>Đề xuất dự án soạn thảo chuẩn mực kế toán quốc tế</w:t>
                    </w:r>
                  </w:p>
                  <w:p w:rsidR="002126EF" w:rsidRDefault="002126EF" w:rsidP="00E5731F"/>
                  <w:p w:rsidR="002126EF" w:rsidRDefault="002126EF" w:rsidP="00E5731F"/>
                </w:txbxContent>
              </v:textbox>
            </v:rect>
            <v:rect id="_x0000_s1049" style="position:absolute;left:2522;top:10224;width:3456;height:576">
              <v:textbox>
                <w:txbxContent>
                  <w:p w:rsidR="002126EF" w:rsidRDefault="002126EF" w:rsidP="00E5731F">
                    <w:pPr>
                      <w:jc w:val="center"/>
                    </w:pPr>
                    <w:r>
                      <w:t>Xem xét việc hợp tác với các tổ chức soạn thảo chuẩn mực quốc gia</w:t>
                    </w:r>
                  </w:p>
                  <w:p w:rsidR="002126EF" w:rsidRDefault="002126EF" w:rsidP="00E5731F"/>
                  <w:p w:rsidR="002126EF" w:rsidRDefault="002126EF" w:rsidP="00E5731F"/>
                </w:txbxContent>
              </v:textbox>
            </v:rect>
            <v:rect id="_x0000_s1050" style="position:absolute;left:2522;top:11376;width:3456;height:576">
              <v:textbox>
                <w:txbxContent>
                  <w:p w:rsidR="002126EF" w:rsidRDefault="002126EF" w:rsidP="00E5731F">
                    <w:pPr>
                      <w:jc w:val="center"/>
                    </w:pPr>
                    <w:r>
                      <w:t xml:space="preserve">Thành lập các nhóm làm việc </w:t>
                    </w:r>
                  </w:p>
                  <w:p w:rsidR="002126EF" w:rsidRDefault="002126EF" w:rsidP="00E5731F">
                    <w:pPr>
                      <w:jc w:val="center"/>
                    </w:pPr>
                    <w:r>
                      <w:t>(working group)</w:t>
                    </w:r>
                  </w:p>
                  <w:p w:rsidR="002126EF" w:rsidRDefault="002126EF" w:rsidP="00E5731F"/>
                  <w:p w:rsidR="002126EF" w:rsidRDefault="002126EF" w:rsidP="00E5731F"/>
                  <w:p w:rsidR="002126EF" w:rsidRDefault="002126EF" w:rsidP="00E5731F"/>
                </w:txbxContent>
              </v:textbox>
            </v:rect>
            <v:rect id="_x0000_s1051" style="position:absolute;left:2522;top:12528;width:3456;height:576">
              <v:textbox>
                <w:txbxContent>
                  <w:p w:rsidR="002126EF" w:rsidRDefault="002126EF" w:rsidP="00E5731F">
                    <w:pPr>
                      <w:jc w:val="center"/>
                    </w:pPr>
                    <w:r>
                      <w:t xml:space="preserve">Đưa ra văn bản mời thảo luận </w:t>
                    </w:r>
                  </w:p>
                  <w:p w:rsidR="002126EF" w:rsidRDefault="002126EF" w:rsidP="00E5731F">
                    <w:pPr>
                      <w:jc w:val="center"/>
                    </w:pPr>
                    <w:r>
                      <w:t>(discussion paper)</w:t>
                    </w:r>
                  </w:p>
                  <w:p w:rsidR="002126EF" w:rsidRDefault="002126EF" w:rsidP="00E5731F"/>
                  <w:p w:rsidR="002126EF" w:rsidRDefault="002126EF" w:rsidP="00E5731F"/>
                  <w:p w:rsidR="002126EF" w:rsidRDefault="002126EF" w:rsidP="00E5731F"/>
                </w:txbxContent>
              </v:textbox>
            </v:rect>
            <v:rect id="_x0000_s1052" style="position:absolute;left:2522;top:13680;width:3456;height:576">
              <v:textbox>
                <w:txbxContent>
                  <w:p w:rsidR="002126EF" w:rsidRDefault="002126EF" w:rsidP="00E5731F">
                    <w:pPr>
                      <w:jc w:val="center"/>
                    </w:pPr>
                    <w:r>
                      <w:t>Công bố bản thảo lấy ý kiến công chúng (exposure draft)</w:t>
                    </w:r>
                  </w:p>
                  <w:p w:rsidR="002126EF" w:rsidRDefault="002126EF" w:rsidP="00E5731F"/>
                  <w:p w:rsidR="002126EF" w:rsidRDefault="002126EF" w:rsidP="00E5731F"/>
                  <w:p w:rsidR="002126EF" w:rsidRDefault="002126EF" w:rsidP="00E5731F"/>
                </w:txbxContent>
              </v:textbox>
            </v:rect>
            <v:rect id="_x0000_s1053" style="position:absolute;left:2522;top:14832;width:3456;height:576">
              <v:textbox>
                <w:txbxContent>
                  <w:p w:rsidR="002126EF" w:rsidRDefault="002126EF" w:rsidP="00E5731F">
                    <w:pPr>
                      <w:jc w:val="center"/>
                    </w:pPr>
                    <w:r>
                      <w:t>Thu thập và xem xét các nhận xét</w:t>
                    </w:r>
                  </w:p>
                  <w:p w:rsidR="002126EF" w:rsidRDefault="002126EF" w:rsidP="00E5731F"/>
                  <w:p w:rsidR="002126EF" w:rsidRDefault="002126EF" w:rsidP="00E5731F"/>
                  <w:p w:rsidR="002126EF" w:rsidRDefault="002126EF" w:rsidP="00E5731F"/>
                  <w:p w:rsidR="002126EF" w:rsidRDefault="002126EF" w:rsidP="00E5731F"/>
                </w:txbxContent>
              </v:textbox>
            </v:rect>
            <v:rect id="_x0000_s1054" style="position:absolute;left:2522;top:15984;width:3456;height:576">
              <v:textbox>
                <w:txbxContent>
                  <w:p w:rsidR="002126EF" w:rsidRDefault="002126EF" w:rsidP="00E5731F">
                    <w:pPr>
                      <w:jc w:val="center"/>
                    </w:pPr>
                    <w:r>
                      <w:t>Soạn thảo chính thức chuẩn mực kế toán quốc tế</w:t>
                    </w:r>
                  </w:p>
                  <w:p w:rsidR="002126EF" w:rsidRDefault="002126EF" w:rsidP="00E5731F"/>
                  <w:p w:rsidR="002126EF" w:rsidRDefault="002126EF" w:rsidP="00E5731F"/>
                  <w:p w:rsidR="002126EF" w:rsidRDefault="002126EF" w:rsidP="00E5731F"/>
                  <w:p w:rsidR="002126EF" w:rsidRDefault="002126EF" w:rsidP="00E5731F"/>
                  <w:p w:rsidR="002126EF" w:rsidRDefault="002126EF" w:rsidP="00E5731F"/>
                </w:txbxContent>
              </v:textbox>
            </v:rect>
            <v:line id="_x0000_s1055" style="position:absolute" from="4106,9648" to="4106,10224">
              <v:stroke endarrow="block"/>
            </v:line>
            <v:line id="_x0000_s1056" style="position:absolute" from="4106,10800" to="4107,11376">
              <v:stroke endarrow="block"/>
            </v:line>
            <v:line id="_x0000_s1057" style="position:absolute" from="4106,11952" to="4107,12528">
              <v:stroke endarrow="block"/>
            </v:line>
            <v:line id="_x0000_s1058" style="position:absolute" from="4106,13104" to="4107,13680">
              <v:stroke endarrow="block"/>
            </v:line>
            <v:line id="_x0000_s1059" style="position:absolute" from="4106,14256" to="4107,14832">
              <v:stroke endarrow="block"/>
            </v:line>
            <v:line id="_x0000_s1060" style="position:absolute" from="4106,15408" to="4107,15984">
              <v:stroke endarrow="block"/>
            </v:line>
            <w10:anchorlock/>
          </v:group>
        </w:pict>
      </w:r>
    </w:p>
    <w:p w:rsidR="002126EF" w:rsidRPr="00FB7DA8" w:rsidRDefault="002126EF" w:rsidP="00FB7DA8">
      <w:pPr>
        <w:spacing w:line="264" w:lineRule="auto"/>
        <w:jc w:val="both"/>
        <w:rPr>
          <w:color w:val="000000"/>
          <w:sz w:val="28"/>
          <w:szCs w:val="28"/>
        </w:rPr>
      </w:pPr>
    </w:p>
    <w:p w:rsidR="002126EF" w:rsidRPr="00FB7DA8" w:rsidRDefault="002126EF" w:rsidP="00FB7DA8">
      <w:pPr>
        <w:spacing w:line="264" w:lineRule="auto"/>
        <w:ind w:firstLine="720"/>
        <w:jc w:val="center"/>
        <w:rPr>
          <w:b/>
          <w:bCs/>
          <w:i/>
          <w:iCs/>
          <w:color w:val="000000"/>
          <w:spacing w:val="-6"/>
          <w:sz w:val="28"/>
          <w:szCs w:val="28"/>
        </w:rPr>
      </w:pPr>
      <w:r w:rsidRPr="00FB7DA8">
        <w:rPr>
          <w:b/>
          <w:bCs/>
          <w:i/>
          <w:iCs/>
          <w:color w:val="000000"/>
          <w:spacing w:val="-6"/>
          <w:sz w:val="28"/>
          <w:szCs w:val="28"/>
        </w:rPr>
        <w:t xml:space="preserve">Bảng 2: Quy trình chuẩn cho việc soạn thảo </w:t>
      </w:r>
    </w:p>
    <w:p w:rsidR="002126EF" w:rsidRPr="00FB7DA8" w:rsidRDefault="002126EF" w:rsidP="00FB7DA8">
      <w:pPr>
        <w:spacing w:line="264" w:lineRule="auto"/>
        <w:ind w:firstLine="720"/>
        <w:jc w:val="center"/>
        <w:rPr>
          <w:b/>
          <w:bCs/>
          <w:i/>
          <w:iCs/>
          <w:color w:val="000000"/>
          <w:spacing w:val="-6"/>
          <w:sz w:val="28"/>
          <w:szCs w:val="28"/>
        </w:rPr>
      </w:pPr>
      <w:r w:rsidRPr="00FB7DA8">
        <w:rPr>
          <w:b/>
          <w:bCs/>
          <w:i/>
          <w:iCs/>
          <w:color w:val="000000"/>
          <w:spacing w:val="-6"/>
          <w:sz w:val="28"/>
          <w:szCs w:val="28"/>
        </w:rPr>
        <w:t>các chuẩn mực kế toán quốc tế.</w:t>
      </w:r>
    </w:p>
    <w:p w:rsidR="002126EF" w:rsidRPr="00FB7DA8" w:rsidRDefault="002126EF" w:rsidP="00FB7DA8">
      <w:pPr>
        <w:spacing w:line="264" w:lineRule="auto"/>
        <w:jc w:val="both"/>
        <w:rPr>
          <w:b/>
          <w:bCs/>
          <w:color w:val="000000"/>
          <w:sz w:val="28"/>
          <w:szCs w:val="28"/>
        </w:rPr>
      </w:pPr>
    </w:p>
    <w:p w:rsidR="002126EF" w:rsidRPr="00FB7DA8" w:rsidRDefault="002126EF" w:rsidP="00FB7DA8">
      <w:pPr>
        <w:pStyle w:val="ListParagraph"/>
        <w:spacing w:line="264" w:lineRule="auto"/>
        <w:ind w:left="0" w:firstLine="720"/>
        <w:jc w:val="both"/>
        <w:rPr>
          <w:color w:val="000000"/>
          <w:sz w:val="28"/>
          <w:szCs w:val="28"/>
        </w:rPr>
      </w:pPr>
      <w:r w:rsidRPr="00FB7DA8">
        <w:rPr>
          <w:b/>
          <w:bCs/>
          <w:color w:val="000000"/>
          <w:sz w:val="28"/>
          <w:szCs w:val="28"/>
        </w:rPr>
        <w:t>Bước 2</w:t>
      </w:r>
      <w:r w:rsidRPr="00FB7DA8">
        <w:rPr>
          <w:color w:val="000000"/>
          <w:sz w:val="28"/>
          <w:szCs w:val="28"/>
        </w:rPr>
        <w:t xml:space="preserve">: Khi đưa một dự án vào một lịch trình hoạt động, IASB sẽ quyết định có thực hiện dự án đó một mình hay là sẽ hợp tác với các tổ chức soạn thảo chuẩn mực khác. </w:t>
      </w:r>
    </w:p>
    <w:p w:rsidR="002126EF" w:rsidRPr="00FB7DA8" w:rsidRDefault="002126EF" w:rsidP="00FB7DA8">
      <w:pPr>
        <w:pStyle w:val="ListParagraph"/>
        <w:spacing w:line="264" w:lineRule="auto"/>
        <w:ind w:left="0" w:firstLine="720"/>
        <w:jc w:val="both"/>
        <w:rPr>
          <w:color w:val="000000"/>
          <w:sz w:val="28"/>
          <w:szCs w:val="28"/>
        </w:rPr>
      </w:pPr>
      <w:r w:rsidRPr="00FB7DA8">
        <w:rPr>
          <w:b/>
          <w:bCs/>
          <w:color w:val="000000"/>
          <w:sz w:val="28"/>
          <w:szCs w:val="28"/>
        </w:rPr>
        <w:t>Bước 3</w:t>
      </w:r>
      <w:r w:rsidRPr="00FB7DA8">
        <w:rPr>
          <w:color w:val="000000"/>
          <w:sz w:val="28"/>
          <w:szCs w:val="28"/>
        </w:rPr>
        <w:t>: Sau khi xem xét bản chất của vấn đề, IASB sẽ thiết lập một nhóm làm việc</w:t>
      </w:r>
    </w:p>
    <w:p w:rsidR="002126EF" w:rsidRPr="00FB7DA8" w:rsidRDefault="002126EF" w:rsidP="00FB7DA8">
      <w:pPr>
        <w:pStyle w:val="ListParagraph"/>
        <w:spacing w:line="264" w:lineRule="auto"/>
        <w:ind w:left="0" w:firstLine="720"/>
        <w:jc w:val="both"/>
        <w:rPr>
          <w:color w:val="000000"/>
          <w:sz w:val="28"/>
          <w:szCs w:val="28"/>
        </w:rPr>
      </w:pPr>
      <w:r w:rsidRPr="00FB7DA8">
        <w:rPr>
          <w:b/>
          <w:bCs/>
          <w:color w:val="000000"/>
          <w:sz w:val="28"/>
          <w:szCs w:val="28"/>
        </w:rPr>
        <w:t>Bước 4</w:t>
      </w:r>
      <w:r w:rsidRPr="00FB7DA8">
        <w:rPr>
          <w:color w:val="000000"/>
          <w:sz w:val="28"/>
          <w:szCs w:val="28"/>
        </w:rPr>
        <w:t>: Mặc dầu một văn bản mời thảo luận không phải là một bước bắt buộc trong quy trình chuẩn, IASB vẫn thường công bố một văn bản mời thảo luận cho những chủ đề mới quan trọng. Thông thường thì một văn bản mời thảo luận sẽ bao gồm một phần tổng quát về vấn đề được bàn luận, các cách tiếp cận để giải quyết vấn đề, quan điểm ban đầu của tác giả hay của IASB và một lời mời đưa ra ý kiến. Nếu IASB quyết định bỏ bước này thì IASB phải đưa ra lý do giải thích</w:t>
      </w:r>
    </w:p>
    <w:p w:rsidR="002126EF" w:rsidRPr="00FB7DA8" w:rsidRDefault="002126EF" w:rsidP="00FB7DA8">
      <w:pPr>
        <w:pStyle w:val="ListParagraph"/>
        <w:spacing w:line="264" w:lineRule="auto"/>
        <w:ind w:left="0" w:firstLine="720"/>
        <w:jc w:val="both"/>
        <w:rPr>
          <w:color w:val="000000"/>
          <w:sz w:val="28"/>
          <w:szCs w:val="28"/>
        </w:rPr>
      </w:pPr>
      <w:r w:rsidRPr="00FB7DA8">
        <w:rPr>
          <w:b/>
          <w:bCs/>
          <w:color w:val="000000"/>
          <w:sz w:val="28"/>
          <w:szCs w:val="28"/>
        </w:rPr>
        <w:t>Bước 5</w:t>
      </w:r>
      <w:r w:rsidRPr="00FB7DA8">
        <w:rPr>
          <w:color w:val="000000"/>
          <w:sz w:val="28"/>
          <w:szCs w:val="28"/>
        </w:rPr>
        <w:t>: Công bố bản thảo (draft) lấy ý kiến công chúng là một bước bắt buộc trong quy trình chuẩn. Bản thảo này phải được chín thành viên của IASB phê chuẩn. Một bản thảo sẽ bao gồm cơ sở để đưa ra kết luận và các quan điểm trái ngược từ các thành viên IASB không phê chuẩn.</w:t>
      </w:r>
    </w:p>
    <w:p w:rsidR="002126EF" w:rsidRPr="00FB7DA8" w:rsidRDefault="002126EF" w:rsidP="00FB7DA8">
      <w:pPr>
        <w:pStyle w:val="ListParagraph"/>
        <w:spacing w:line="264" w:lineRule="auto"/>
        <w:ind w:left="0" w:firstLine="720"/>
        <w:jc w:val="both"/>
        <w:rPr>
          <w:color w:val="000000"/>
          <w:sz w:val="28"/>
          <w:szCs w:val="28"/>
        </w:rPr>
      </w:pPr>
      <w:r w:rsidRPr="00FB7DA8">
        <w:rPr>
          <w:b/>
          <w:bCs/>
          <w:color w:val="000000"/>
          <w:sz w:val="28"/>
          <w:szCs w:val="28"/>
        </w:rPr>
        <w:t>Bước 6</w:t>
      </w:r>
      <w:r w:rsidRPr="00FB7DA8">
        <w:rPr>
          <w:color w:val="000000"/>
          <w:sz w:val="28"/>
          <w:szCs w:val="28"/>
        </w:rPr>
        <w:t>: IASB sẽ xem xét những lời nhận xét và kết quả của những lần tham vấn khác.</w:t>
      </w:r>
    </w:p>
    <w:p w:rsidR="002126EF" w:rsidRPr="00FB7DA8" w:rsidRDefault="002126EF" w:rsidP="00FB7DA8">
      <w:pPr>
        <w:pStyle w:val="ListParagraph"/>
        <w:spacing w:line="264" w:lineRule="auto"/>
        <w:ind w:left="0" w:firstLine="720"/>
        <w:jc w:val="both"/>
        <w:rPr>
          <w:color w:val="000000"/>
          <w:sz w:val="28"/>
          <w:szCs w:val="28"/>
        </w:rPr>
      </w:pPr>
      <w:r w:rsidRPr="00FB7DA8">
        <w:rPr>
          <w:b/>
          <w:bCs/>
          <w:color w:val="000000"/>
          <w:sz w:val="28"/>
          <w:szCs w:val="28"/>
        </w:rPr>
        <w:t>Bước 7</w:t>
      </w:r>
      <w:r w:rsidRPr="00FB7DA8">
        <w:rPr>
          <w:color w:val="000000"/>
          <w:sz w:val="28"/>
          <w:szCs w:val="28"/>
        </w:rPr>
        <w:t>: Khi IASB thấy rằng hội đồng đã có thể đưa ra một kết luận về vấn đề đang được thảo luận, hội đồng sẽ chỉ đạo cho nhân viên của mình soạn thảo chính thức các chuẩn mực kế toán quốc tế. Một chuẩn mực kế toán mới  phải được chính thành viên của IASB phê chuẩn. Một chuẩn mực kế toán sẽ bao gồm cơ sở để đưa ra kết luận và các quan điểm trái ngược từ các thành viên IASB không phê chuẩn.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Sự phối hợp chặt chẽ giữa IASB và các tổ chức soạn thảo chuẩn mực kế toán của các quốc gia là một nhân tố quan trọng giúp cho IASB có thể hoàn thành nhiệm vụ của mình. IASB đang tìm cách để tạo ra sự hài hòa giữa quy trình chuẩn của IASB và quy trình chuẩn của các quốc gia. Đặc biệt, IASB đang đề xuất một quy  trình phối hợp giữa IASB và các tổ chức soạn thảo chuẩn mực kế toán quốc gia cho những dự án mang tầm quốc tế. Quy trình đó như sau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IASB sẽ phối hợp với các tổ chức soạn thảo chuẩn mực kế toán của các quốc gia để khi IASB bắt đầu thực hiện một dự án, các tổ chức soạn thảo chuẩn mực kế toán đó sẽ đưa dự án đó vào kế hoạch hoạt động của mình. Nhờ đó, một sự đồng thuận quốc tế cao trong việc soạn thảo chuẩn mực kế toán có thể đạt được. Tương tự, khi tổ chức soạn thảo chuẩn mực kế toán của một quốc gia bắt đầu một dự án của họ, IASB cũng sẽ xem xét xem liệu hội đồng có cần soạn thảo một chuẩn mực kế toán mới hay xem xét lại các chuẩn mực kế toán hiện hành. Qua  một khoảng thời gian hợp lý, IASB và các tổ chức soạn thảo chuẩn mực kế toán quốc gia sẽ cùng xem xét lại tất cả các chuẩn mực nơi có sự khác biệt đáng kể và ưu tiên cho những vấn đề cso sự khác biệt lớn nhất.</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Các tổ chức soạn thảo chuẩn mực kế toán quốc gia không bắt buộc phải dựa theo các chuẩn mực kế toán quốc tế khi soạn thảo các chuẩn mực kế toán của quốc gia mỡnh vỡ mỗi nước có quyền tự do lựa chọn có sử dụng các chuẩn mực kế toán quốc tế có bổ sung sửa đổi một số điều hay là lựa chọn các chuẩn mực khác. Tuy nhiên, một sự đồng thuận quốc tế sẽ là một nhân tố mà các nhà soạn thảo chuẩn mực kế toán quốc gia sẽ xem xét đến khi họ soạn thảo các chuẩn mực kế toán của quốc gia mình.</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IASB sẽ tiếp tục công bố bản dự thảo chuẩn mực lấy ý kiến công chúng của riêng mình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Các tổ chức soạn thảo chuẩn mực kế toán quốc gia cũng sẽ công bố cho công chúng bản dự thảo chuẩn mực của riêng mình cùng thời gian với bản dự thảo chuẩn mực của IASB và sẽ cùng kêu gọi những góp ý cho những sự khác biệt quan trọng trong cả hai bản dự thảo. Trong một số trường hợp, các tổ chức soạn thảo chuẩn mực kế toán quốc gia có thể đưa vào bản dự thảo những quan điểm cụ thể về những vấn đề có liên quan đến quốc gia họ hoặc có thể kèm theo những chỉ dẫn cụ thể thường có trong những văn bản tương ứng của IASB.</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Các tổ chức soạn thảo chuẩn mực kế toán quốc gia sẽ tuân theo quy trình soạn thảo chuẩn mực riêng mà họ cho rằng là hài hòa nhất với quy trình soạn thảo chuẩn mực của IASB. Sự hài hòa này sẽ loại bỏ mọi sự trì hoãn không cần thiết trong quá trình soạn thảo chuẩn mực và hạn chế ở mức tối đa những sự khác biệt không cần thiết giữa chuẩn mực kế toán quốc tế và chuẩn mực kế toán quốc gia.</w:t>
      </w:r>
      <w:bookmarkStart w:id="22" w:name="_Toc259077505"/>
      <w:bookmarkStart w:id="23" w:name="_Toc259077550"/>
      <w:bookmarkStart w:id="24" w:name="_Toc261404100"/>
    </w:p>
    <w:p w:rsidR="002126EF" w:rsidRPr="00FB7DA8" w:rsidRDefault="002126EF" w:rsidP="00FB7DA8">
      <w:pPr>
        <w:pStyle w:val="ListParagraph"/>
        <w:spacing w:line="264" w:lineRule="auto"/>
        <w:ind w:left="0" w:firstLine="567"/>
        <w:jc w:val="both"/>
        <w:rPr>
          <w:color w:val="000000"/>
          <w:sz w:val="28"/>
          <w:szCs w:val="28"/>
        </w:rPr>
      </w:pPr>
      <w:r w:rsidRPr="00FB7DA8">
        <w:rPr>
          <w:rStyle w:val="Heading3Char1"/>
          <w:rFonts w:ascii="Times New Roman" w:hAnsi="Times New Roman" w:cs="Times New Roman"/>
          <w:i/>
          <w:iCs/>
          <w:color w:val="000000"/>
          <w:sz w:val="28"/>
          <w:szCs w:val="28"/>
        </w:rPr>
        <w:t>4. Lợi ích của việc ban hành các chuẩn mực kế toán quốc tế</w:t>
      </w:r>
      <w:bookmarkEnd w:id="22"/>
      <w:bookmarkEnd w:id="23"/>
      <w:r w:rsidRPr="00FB7DA8">
        <w:rPr>
          <w:color w:val="000000"/>
          <w:sz w:val="28"/>
          <w:szCs w:val="28"/>
        </w:rPr>
        <w:t>:</w:t>
      </w:r>
      <w:bookmarkEnd w:id="24"/>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Các chuẩn mực kế toán quốc tế ra đời dựa trên nhu cầu thực tế của đời sống. Chúng ta có thể liệt kê ra rất nhiều lợi ích của việc có những chuẩn mực quốc tế chung:</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25" w:name="_Toc261404101"/>
      <w:r w:rsidRPr="00FB7DA8">
        <w:rPr>
          <w:rFonts w:ascii="Times New Roman" w:hAnsi="Times New Roman" w:cs="Times New Roman"/>
          <w:color w:val="000000"/>
          <w:sz w:val="28"/>
          <w:szCs w:val="28"/>
        </w:rPr>
        <w:t>4.1. Lợi ích đối với các nhà đầu tư:</w:t>
      </w:r>
      <w:bookmarkEnd w:id="25"/>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Các nhà đầu tư, cả nhà đầu tư cá nhân và nhà đầu tư tổ chức, sẽ có thể so sánh các kết quả tài chính của các công ty khác nhau nằm ở các nước khác nhau trên toàn thế giới cũng như đưa ra các quyết định đầu tư quốc tế một cách dễ dàng hơn và tốn kém ít chi phí hơn.</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26" w:name="_Toc261404102"/>
      <w:r w:rsidRPr="00FB7DA8">
        <w:rPr>
          <w:rFonts w:ascii="Times New Roman" w:hAnsi="Times New Roman" w:cs="Times New Roman"/>
          <w:color w:val="000000"/>
          <w:sz w:val="28"/>
          <w:szCs w:val="28"/>
        </w:rPr>
        <w:t>4.2. Lợi ích đối với các công ty đa quốc gia:</w:t>
      </w:r>
      <w:bookmarkEnd w:id="26"/>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Các công ty đa quốc gia sẽ dễ dàng kêu gọi được vốn đầu tư từ các nhà đầu tư nước ngoài hơn.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Quản lý cũng dễ dàng hơn với các công ty này do cùng được soạn thảo trên một chuẩn mực kế toán chung làm cho các thông tin tài chính được truyền tải giữa công ty con và công ty mẹ dễ dàng hơn.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Việc thâu tóm và sáp nhập các công ty nước ngoài cũng dễ dàng hơn. Các công ty đa quốc gia cũng có thể tuân thủ theo các yêu cầu về báo cáo của các sở giao dịch chứng khoán ở nước ngoài được thuận lợi hơn.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Việc soạn thảo các báo cáo hợp nhất cấp tập đoàn sẽ không phải trải qua nhiều bước chuyển đổi từ báo cáo theo chuẩn mực kế toán quốc gia nơi công ty con đóng trụ sở sang báo cáo theo chuẩn mực kế toán nơi công ty mẹ đóng trụ sở.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Phí kiểm toán sẽ được giảm bớt do khi các báo cáo cùng được lập trên cùng một cơ sở thì sẽ tạo điều kiện cho kiểm toán kiểm tra nhanh hơn dẫn đến tốn ít thời gian và chi phí hơn.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Việc điều chuyển các nhân viên kế toán từ nước này sang nươc khác sẽ trở nên dễ dàng hơn.</w:t>
      </w:r>
      <w:bookmarkStart w:id="27" w:name="_Toc261404103"/>
    </w:p>
    <w:p w:rsidR="002126EF" w:rsidRPr="00FB7DA8" w:rsidRDefault="002126EF" w:rsidP="00FB7DA8">
      <w:pPr>
        <w:pStyle w:val="ListParagraph"/>
        <w:spacing w:line="264" w:lineRule="auto"/>
        <w:ind w:left="0" w:firstLine="567"/>
        <w:jc w:val="both"/>
        <w:rPr>
          <w:b/>
          <w:bCs/>
          <w:color w:val="000000"/>
          <w:sz w:val="28"/>
          <w:szCs w:val="28"/>
        </w:rPr>
      </w:pPr>
      <w:r w:rsidRPr="00FB7DA8">
        <w:rPr>
          <w:b/>
          <w:bCs/>
          <w:color w:val="000000"/>
          <w:sz w:val="28"/>
          <w:szCs w:val="28"/>
        </w:rPr>
        <w:t>4.3. Lợi ích đối với các nước đang phát triển:</w:t>
      </w:r>
      <w:bookmarkEnd w:id="27"/>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Chính phủ của các nước đang phát triển cũng sẽ tiết kiệm đươc thời gian nếu họ có thể sử dụng luụn cỏc chuẩn mực kế toán quốc tế thay vì phải soạn thảo các chuẩn mực kế toán riêng cho quốc gia mình. Nếu các quốc gia này sử dụng các chuẩn mực kế toán quốc tế thì họ có thể kiểm soát tốt hơn hoạt động của các công ty đa quốc gia đang hoạt động trong phạm vi lãnh thổ của nước mỡnh. Cỏc công ty này không thể viện lý do là họ không thể hiểu bản chất của các chuẩn mực kế toán quốc gia nờn khụng lập các báo cáo tuân theo các chuẩn mực.</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28" w:name="_Toc261404104"/>
      <w:r w:rsidRPr="00FB7DA8">
        <w:rPr>
          <w:rFonts w:ascii="Times New Roman" w:hAnsi="Times New Roman" w:cs="Times New Roman"/>
          <w:color w:val="000000"/>
          <w:sz w:val="28"/>
          <w:szCs w:val="28"/>
        </w:rPr>
        <w:t>4.4. Lợi ích đối với các cơ quan thuế:</w:t>
      </w:r>
      <w:bookmarkEnd w:id="28"/>
      <w:r w:rsidRPr="00FB7DA8">
        <w:rPr>
          <w:rFonts w:ascii="Times New Roman" w:hAnsi="Times New Roman" w:cs="Times New Roman"/>
          <w:color w:val="000000"/>
          <w:sz w:val="28"/>
          <w:szCs w:val="28"/>
        </w:rPr>
        <w:t xml:space="preserve">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việc tính thuế cho các khoản thu nhập có nguồn gốc nước ngoài của các nhà đầu tư hay của các công ty đa quốc gia sẽ dễ dàng hơn.</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29" w:name="_Toc261404105"/>
      <w:r w:rsidRPr="00FB7DA8">
        <w:rPr>
          <w:rFonts w:ascii="Times New Roman" w:hAnsi="Times New Roman" w:cs="Times New Roman"/>
          <w:color w:val="000000"/>
          <w:sz w:val="28"/>
          <w:szCs w:val="28"/>
        </w:rPr>
        <w:t>4.5. Lợi ích đối với việc xúc tiến thương mại trong khu vực:</w:t>
      </w:r>
      <w:bookmarkEnd w:id="29"/>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Các tổ chức kinh tế khu vực có thể đẩy mạnh giao thương trong một khu vực địa lý nhất định nhờ có các chuẩn mực kế toán chung làm nền tảng cho việc lập và cung cấp các thông tin kế toán được thống nhất. Các nước trong khu vực khu tham gia buôn bán với nhau trong khu vực không phải mất thời gian và chi phí tìm hiểu, nghiên cứu về chuẩn mực kế toán của nước kia và cũng không tốn chi phí phải chuyển đổi báo cáo từ chuẩn mực của nước này sang chuẩn mực của nước khác.</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30" w:name="_Toc261404106"/>
      <w:r w:rsidRPr="00FB7DA8">
        <w:rPr>
          <w:rFonts w:ascii="Times New Roman" w:hAnsi="Times New Roman" w:cs="Times New Roman"/>
          <w:color w:val="000000"/>
          <w:sz w:val="28"/>
          <w:szCs w:val="28"/>
        </w:rPr>
        <w:t>4.6. Lợi ích đối với các công ty kế toán và kiểm toán</w:t>
      </w:r>
      <w:bookmarkEnd w:id="30"/>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Các công ty kế toán hay kiểm toán cũng sẽ hoạt động dễ dàng hơn trên phạm vi quốc tế khi cú cỏc chuẩn mực kế toán quốc tế chung được sử dụng ở nhiều nước trên thế giới.</w:t>
      </w:r>
    </w:p>
    <w:p w:rsidR="002126EF" w:rsidRPr="00FB7DA8" w:rsidRDefault="002126EF" w:rsidP="00FB7DA8">
      <w:pPr>
        <w:pStyle w:val="Heading1"/>
        <w:spacing w:before="0" w:after="0" w:line="264" w:lineRule="auto"/>
        <w:ind w:firstLine="567"/>
        <w:jc w:val="both"/>
        <w:rPr>
          <w:rFonts w:ascii="Times New Roman" w:hAnsi="Times New Roman" w:cs="Times New Roman"/>
          <w:color w:val="000000"/>
          <w:sz w:val="28"/>
          <w:szCs w:val="28"/>
        </w:rPr>
      </w:pPr>
      <w:bookmarkStart w:id="31" w:name="_Toc259077506"/>
      <w:bookmarkStart w:id="32" w:name="_Toc259077551"/>
      <w:bookmarkStart w:id="33" w:name="_Toc261404107"/>
      <w:r w:rsidRPr="00FB7DA8">
        <w:rPr>
          <w:rFonts w:ascii="Times New Roman" w:hAnsi="Times New Roman" w:cs="Times New Roman"/>
          <w:color w:val="000000"/>
          <w:sz w:val="28"/>
          <w:szCs w:val="28"/>
        </w:rPr>
        <w:t>II. Chuẩn mực kế toán Việt Nam:</w:t>
      </w:r>
      <w:bookmarkEnd w:id="31"/>
      <w:bookmarkEnd w:id="32"/>
      <w:bookmarkEnd w:id="33"/>
    </w:p>
    <w:p w:rsidR="002126EF" w:rsidRPr="00FB7DA8" w:rsidRDefault="002126EF" w:rsidP="00FB7DA8">
      <w:pPr>
        <w:pStyle w:val="Heading2"/>
        <w:spacing w:before="0" w:after="0" w:line="264" w:lineRule="auto"/>
        <w:ind w:firstLine="567"/>
        <w:jc w:val="both"/>
        <w:rPr>
          <w:rFonts w:ascii="Times New Roman" w:hAnsi="Times New Roman" w:cs="Times New Roman"/>
          <w:color w:val="000000"/>
        </w:rPr>
      </w:pPr>
      <w:bookmarkStart w:id="34" w:name="_Toc259077507"/>
      <w:bookmarkStart w:id="35" w:name="_Toc259077552"/>
      <w:bookmarkStart w:id="36" w:name="_Toc261404108"/>
      <w:r w:rsidRPr="00FB7DA8">
        <w:rPr>
          <w:rFonts w:ascii="Times New Roman" w:hAnsi="Times New Roman" w:cs="Times New Roman"/>
          <w:color w:val="000000"/>
        </w:rPr>
        <w:t>1. Sự hình thành và phát triển của chuẩn mực kế toán Việt Nam:</w:t>
      </w:r>
      <w:bookmarkEnd w:id="34"/>
      <w:bookmarkEnd w:id="35"/>
      <w:bookmarkEnd w:id="36"/>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37" w:name="_Toc261404109"/>
      <w:r w:rsidRPr="00FB7DA8">
        <w:rPr>
          <w:rFonts w:ascii="Times New Roman" w:hAnsi="Times New Roman" w:cs="Times New Roman"/>
          <w:color w:val="000000"/>
          <w:sz w:val="28"/>
          <w:szCs w:val="28"/>
        </w:rPr>
        <w:t>1.1. Hoàn cảnh ra đời của các chuẩn mực kế toán ở Việt Nam:</w:t>
      </w:r>
      <w:bookmarkEnd w:id="37"/>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Trước khi mở cửa hội nhập, Việt Nam không có chuẩn mực kế toán mà chỉ có chế độ kế toán. Chế độ kế toán là các quy định do doanh nghiệp Nhà Nước ban hành chủ yếu để hướng dẫn các doanh nghiệp Nhà Nước và Hợp tác xã thực hiện công tác kế toán.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Đến năm 2000, thời điểm các chuẩn mực kế toán đầu tiên được soạn thảo ở Việt Nam cũng là thời điểm chứng kiến nhiều biến động có ảnh hưởng tới hoạt động kế toán cả trên thế giới và ở Việt Nam. Như đã phân tích ở phần 1.2.1, năm 2000 được coi là mốc son đánh dấu nhiều thành công sau hơn 30 năm nỗ lực không ngừng nghỉ của IASC trong việc thúc đẩy sự tiếp nhận của cộng đồng quốc tế đối với các chuẩn mực kế toán quốc tế. IASC đã nhận được sự hẫu thuẫn từ IOSCO cũng như từ Cao Ủy Châu Âu với tuyên bố sử dụng các chuẩn mực kế toán quốc tế làm điều kiện cho việc niêm yết chứng khoán ở tất cả các nước thành viên của EU.</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Năm 2000 cũng là năm chứng kiến sự ra đời của thị trường chứng khoán Việt Nam ánh dấu bằng sự kiện khai trương Trung tâm Giao dịch chứng khoán TP HCM ngày 20/7/2000. Sự ra đời của thị trường chứng khoán tạo ra cơ hội cho các doanh nghiệp Việt Nam cú thờm một kênh thu hút vốn bằng việc niêm yết trên tại các trung tâm mà sau này thành các sở giao dịch chứng khoán. tuy nhiên, để có thể thu vốn được thỡ cỏc doanh nghiệp phải có những báo cáo tài chính phản ánh trung thực và hợp lý tình hình tài chính của doanh nghiệp cũng như có khả năng so sánh được giữa các doanh nghiệp. Nhu cầu đó đòi hỏi sự ra đời của các chuẩn mực kế toán ở Việt Nam để thống nhất cách hạch toán kế toán của các doanh nghiệp.</w:t>
      </w:r>
    </w:p>
    <w:p w:rsidR="002126EF" w:rsidRPr="00FB7DA8" w:rsidRDefault="002126EF" w:rsidP="00FB7DA8">
      <w:pPr>
        <w:pStyle w:val="Heading3"/>
        <w:spacing w:before="0" w:after="0" w:line="264" w:lineRule="auto"/>
        <w:ind w:firstLine="540"/>
        <w:jc w:val="both"/>
        <w:rPr>
          <w:rFonts w:ascii="Times New Roman" w:hAnsi="Times New Roman" w:cs="Times New Roman"/>
          <w:color w:val="000000"/>
          <w:sz w:val="28"/>
          <w:szCs w:val="28"/>
        </w:rPr>
      </w:pPr>
      <w:bookmarkStart w:id="38" w:name="_Toc261404110"/>
      <w:r w:rsidRPr="00FB7DA8">
        <w:rPr>
          <w:rFonts w:ascii="Times New Roman" w:hAnsi="Times New Roman" w:cs="Times New Roman"/>
          <w:color w:val="000000"/>
          <w:sz w:val="28"/>
          <w:szCs w:val="28"/>
        </w:rPr>
        <w:t>1.2. Việc ban hành các chuẩn mực kế toán ở Việt Nam:</w:t>
      </w:r>
      <w:bookmarkEnd w:id="38"/>
      <w:r w:rsidRPr="00FB7DA8">
        <w:rPr>
          <w:rFonts w:ascii="Times New Roman" w:hAnsi="Times New Roman" w:cs="Times New Roman"/>
          <w:color w:val="000000"/>
          <w:sz w:val="28"/>
          <w:szCs w:val="28"/>
        </w:rPr>
        <w:t xml:space="preserve"> </w:t>
      </w:r>
    </w:p>
    <w:p w:rsidR="002126EF" w:rsidRPr="00FB7DA8" w:rsidRDefault="002126EF" w:rsidP="00FB7DA8">
      <w:pPr>
        <w:pStyle w:val="ListParagraph"/>
        <w:spacing w:line="264" w:lineRule="auto"/>
        <w:ind w:left="0" w:firstLine="540"/>
        <w:jc w:val="both"/>
        <w:rPr>
          <w:color w:val="000000"/>
          <w:sz w:val="28"/>
          <w:szCs w:val="28"/>
        </w:rPr>
      </w:pPr>
      <w:r w:rsidRPr="00FB7DA8">
        <w:rPr>
          <w:color w:val="000000"/>
          <w:sz w:val="28"/>
          <w:szCs w:val="28"/>
        </w:rPr>
        <w:t>Việc soạn thảo và ban hành các chuẩn mực kế toán ở Việt Nam cú cỏc đặc điểm sau :</w:t>
      </w:r>
    </w:p>
    <w:p w:rsidR="002126EF" w:rsidRPr="00FB7DA8" w:rsidRDefault="002126EF" w:rsidP="00FB7DA8">
      <w:pPr>
        <w:pStyle w:val="Heading3"/>
        <w:spacing w:before="0" w:after="0" w:line="264" w:lineRule="auto"/>
        <w:ind w:firstLine="540"/>
        <w:jc w:val="both"/>
        <w:rPr>
          <w:rFonts w:ascii="Times New Roman" w:hAnsi="Times New Roman" w:cs="Times New Roman"/>
          <w:color w:val="000000"/>
          <w:sz w:val="28"/>
          <w:szCs w:val="28"/>
        </w:rPr>
      </w:pPr>
      <w:bookmarkStart w:id="39" w:name="_Toc261404111"/>
      <w:r w:rsidRPr="00FB7DA8">
        <w:rPr>
          <w:rFonts w:ascii="Times New Roman" w:hAnsi="Times New Roman" w:cs="Times New Roman"/>
          <w:color w:val="000000"/>
          <w:sz w:val="28"/>
          <w:szCs w:val="28"/>
        </w:rPr>
        <w:t>1.2.1. Các chuẩn mực kế toán Việt Nam được ban hành trên cở sở các chuẩn mực kế toán quốc tế :</w:t>
      </w:r>
      <w:bookmarkEnd w:id="39"/>
    </w:p>
    <w:p w:rsidR="002126EF" w:rsidRPr="00FB7DA8" w:rsidRDefault="002126EF" w:rsidP="00FB7DA8">
      <w:pPr>
        <w:pStyle w:val="ListParagraph"/>
        <w:spacing w:line="264" w:lineRule="auto"/>
        <w:ind w:left="0" w:firstLine="540"/>
        <w:jc w:val="both"/>
        <w:rPr>
          <w:color w:val="000000"/>
          <w:sz w:val="28"/>
          <w:szCs w:val="28"/>
        </w:rPr>
      </w:pPr>
      <w:r w:rsidRPr="00FB7DA8">
        <w:rPr>
          <w:color w:val="000000"/>
          <w:sz w:val="28"/>
          <w:szCs w:val="28"/>
        </w:rPr>
        <w:t>Các chuẩn mực này được soạn thảo dựa trên các chuẩn mực kế toán quốc tế đã được ban hành nhưng có sửa đổi bố sung một số điều. Điều này được thể hiện rõ ở khoản 2, điều 8 Luật kế toán số 03/2003/QH11: “Bộ Tài Chính quy định chuẩn mực kế toán trên cơ sở chuẩn mực kế toán quốc tế về kế toán và theo quy định của Luật này (Luật kế toỏn)”.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Việc soạn thảo các chuẩn mực kế toán Việt Nam dựa trên các chuẩn mực kế toán quốc tế là một bước phát triển từ chỗ hoạt động kế toán chỉ chú trọng cho mục đích tính thuế sang một hệ thống kế toán toàn diên hơn, tiệm cận gần hơn với những quy định báo cáo tài chính phưc tạp trong các chuẩn mực kế toán quốc tế, góp phần tạo nên sự hài hòa quốc tế về hoạt động kế toán.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Các chuẩn mực kế toán Việt Nam đã được dịch ra tiếng anh tạo điều kiện cho các nhà đầu tư nước ngoài, các nước thành viên trong khu vực và trên toàn thế giới có thể tiếp cận dễ dàng với hệ thống chuẩn mực kế toán Việt Nam. Điều này không chỉ góp phần hoàn thiện khuôn khổ pháp lý cho hoạt động kế toán của Việt Nam bắt nhịp kịp với sự hội nhập kế toán ở các nước có nền kinh tế thị trường mà quan trọng hơn là tạo môi trường pháp lý cho hội nhập kinh tế, quốc tế và khu vực.</w:t>
      </w:r>
    </w:p>
    <w:p w:rsidR="002126EF" w:rsidRPr="00FB7DA8" w:rsidRDefault="002126EF" w:rsidP="00FB7DA8">
      <w:pPr>
        <w:pStyle w:val="Heading3"/>
        <w:spacing w:before="0" w:after="0" w:line="264" w:lineRule="auto"/>
        <w:ind w:firstLine="540"/>
        <w:jc w:val="both"/>
        <w:rPr>
          <w:rFonts w:ascii="Times New Roman" w:hAnsi="Times New Roman" w:cs="Times New Roman"/>
          <w:color w:val="000000"/>
          <w:sz w:val="28"/>
          <w:szCs w:val="28"/>
        </w:rPr>
      </w:pPr>
      <w:bookmarkStart w:id="40" w:name="_Toc261404112"/>
      <w:r w:rsidRPr="00FB7DA8">
        <w:rPr>
          <w:rFonts w:ascii="Times New Roman" w:hAnsi="Times New Roman" w:cs="Times New Roman"/>
          <w:color w:val="000000"/>
          <w:sz w:val="28"/>
          <w:szCs w:val="28"/>
        </w:rPr>
        <w:t>1.2.2. Tuy dựa trên các chuẩn mực kế toán quốc tế nhưng tính đến nay số lượng của các chuẩn mực kế toán Việt Nam vẫn chưa tương đương:</w:t>
      </w:r>
      <w:bookmarkEnd w:id="40"/>
    </w:p>
    <w:p w:rsidR="002126EF" w:rsidRDefault="002126EF" w:rsidP="009F60EF">
      <w:pPr>
        <w:pStyle w:val="ListParagraph"/>
        <w:spacing w:line="264" w:lineRule="auto"/>
        <w:ind w:left="0" w:firstLine="540"/>
        <w:jc w:val="both"/>
        <w:rPr>
          <w:color w:val="000000"/>
          <w:sz w:val="28"/>
          <w:szCs w:val="28"/>
        </w:rPr>
      </w:pPr>
      <w:r w:rsidRPr="00FB7DA8">
        <w:rPr>
          <w:color w:val="000000"/>
          <w:sz w:val="28"/>
          <w:szCs w:val="28"/>
        </w:rPr>
        <w:t>Tính cho đến nay đó cú 5 đợt Bộ Tài Chính ban hành các chuẩn mực kế toán. Đợt 1 và đợt 2 là vào ngày 31 tháng 12 năm 2001 với 10 chuẩn mực kế toán đầu tiên. Đợt 3 là vào ngày 30 tháng 12 năm 2003 với 6 chuẩn mực kế toán. Đợt 4 là vào ngày 15 tháng 2 năm 2005 với 6 chuẩn mực kế toán và đợt 5 là vào ngày 28 tháng 12 năm 2005 với 4 chuẩn mực kế toán. Sau mỗi lần ban hành chuẩn mực đều có thông tư hướng dẫn đi kèm hướng dẫn cách hạch toán cụ thể trong từng trường hợp. Và cho đến tháng 12/2005, Bộ Tài Chính đã ban hành được hai mươi sáu chuẩn mực kế toán</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01 – Chuẩn mực chung: </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02 – Hàng tồn kho: </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03 – Tài sản cố định hữu hình: </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04 – Tài sản cố định vô hình: </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05 – Bất động sản đầu tư</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06 – Thuê tài sản</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07 – Kế toán các khoản đầu tư vào công ty liên kết</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08 – Thông tin tài chính về những khoản vốn góp liên doanh</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10 – Ảnh hưởng của việc thay đổi tỷ giá hối đoái: </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11 – Hợp nhất kinh doanh</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14 – Doanh thu và thu nhập khác: </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15 – Hợp đồng xây dựng</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16 – Chi phí đi vay</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17 – Thuế thu nhập doanh nghiệp: </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18 – Các khoản dự phòng, tài sản và nợ tiềm tàng: </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19 – Hợp đồng bảo hiểm</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21 – Trình bày báo cáo tài chính: </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22 – Trình bày bổ sung báo cáo tài chính của các ngân hàng và tổ chức tài chính tương tự</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23 – Các sự kiện phát sinh sau ngày kết thúc kỳ kế toán năm: </w:t>
      </w:r>
    </w:p>
    <w:p w:rsidR="002126EF" w:rsidRPr="00382BAF" w:rsidRDefault="002126EF" w:rsidP="009F60EF">
      <w:pPr>
        <w:pStyle w:val="ListParagraph"/>
        <w:spacing w:line="264" w:lineRule="auto"/>
        <w:ind w:left="0" w:firstLine="540"/>
        <w:jc w:val="both"/>
        <w:rPr>
          <w:sz w:val="28"/>
          <w:szCs w:val="28"/>
        </w:rPr>
      </w:pPr>
      <w:r w:rsidRPr="00382BAF">
        <w:rPr>
          <w:sz w:val="28"/>
          <w:szCs w:val="28"/>
        </w:rPr>
        <w:t xml:space="preserve">Chuẩn mực kế toán số 24 – Báo cáo lưu chuyển tiền tệ: </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25 – Báo cáo tài chính hợp nhất và kế toán khoản đầu tư vào công ty con</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26 – Thông tin về các bên liên quan</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27 – Báo cáo tài chính giữa niên độ</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28 – Báo cáo bộ phận</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29 – Thay đổi chính sách kế toán, ước tính kế toán và các sai sót</w:t>
      </w:r>
    </w:p>
    <w:p w:rsidR="002126EF" w:rsidRPr="00382BAF" w:rsidRDefault="002126EF" w:rsidP="009F60EF">
      <w:pPr>
        <w:pStyle w:val="ListParagraph"/>
        <w:spacing w:line="264" w:lineRule="auto"/>
        <w:ind w:left="0" w:firstLine="540"/>
        <w:jc w:val="both"/>
        <w:rPr>
          <w:sz w:val="28"/>
          <w:szCs w:val="28"/>
        </w:rPr>
      </w:pPr>
      <w:r w:rsidRPr="00382BAF">
        <w:rPr>
          <w:sz w:val="28"/>
          <w:szCs w:val="28"/>
        </w:rPr>
        <w:t>Chuẩn mực kế toán số 30 – Lãi trên cổ phiếu</w:t>
      </w:r>
    </w:p>
    <w:p w:rsidR="002126EF" w:rsidRPr="00FB7DA8" w:rsidRDefault="002126EF" w:rsidP="00FB7DA8">
      <w:pPr>
        <w:pStyle w:val="ListParagraph"/>
        <w:widowControl w:val="0"/>
        <w:spacing w:line="264" w:lineRule="auto"/>
        <w:ind w:left="0" w:firstLine="567"/>
        <w:jc w:val="both"/>
        <w:rPr>
          <w:color w:val="000000"/>
          <w:sz w:val="28"/>
          <w:szCs w:val="28"/>
        </w:rPr>
      </w:pPr>
      <w:r w:rsidRPr="00FB7DA8">
        <w:rPr>
          <w:color w:val="000000"/>
          <w:sz w:val="28"/>
          <w:szCs w:val="28"/>
        </w:rPr>
        <w:t>Như vậy, so với số lượng 38 chuẩn mực kế toán quốc tế hiện có (bao gồm 9 IFRS và 29 IAS) thì Việt Nam còn thiếu nhiều chuẩn mực tuơng đương.  Điều đó cho thấy có một số chuẩn mực kế toán mà Việt Nam còn phải nghiên cứu để soạn thảo nhằm đáp ứng nhu cầu hạch toán kế toán của các doanh nghiệp Việt Nam trong thời đại mà các giao dịch mới phát sinh ngày một nhiều và bản chất của các giao dịch kinh tế ngày một phức tạp. Việc thiếu các chuẩn mực hướng dẫn cho các doanh nghiệp xử lý các giao dịch khi chúng phát sinh sẽ gây ảnh hưởng không nhỏ đến tính trung thực và hợp lý của báo cáo tài chính cũng như không đáp ứng nhu cầu cung cấp thông tin cho người sử dụng.</w:t>
      </w:r>
    </w:p>
    <w:p w:rsidR="002126EF" w:rsidRPr="00FB7DA8" w:rsidRDefault="002126EF" w:rsidP="00FB7DA8">
      <w:pPr>
        <w:pStyle w:val="Heading3"/>
        <w:widowControl w:val="0"/>
        <w:spacing w:before="0" w:after="0" w:line="264" w:lineRule="auto"/>
        <w:ind w:firstLine="567"/>
        <w:jc w:val="both"/>
        <w:rPr>
          <w:rFonts w:ascii="Times New Roman" w:hAnsi="Times New Roman" w:cs="Times New Roman"/>
          <w:color w:val="000000"/>
          <w:sz w:val="28"/>
          <w:szCs w:val="28"/>
        </w:rPr>
      </w:pPr>
      <w:bookmarkStart w:id="41" w:name="_Toc261404113"/>
      <w:r w:rsidRPr="00FB7DA8">
        <w:rPr>
          <w:rFonts w:ascii="Times New Roman" w:hAnsi="Times New Roman" w:cs="Times New Roman"/>
          <w:color w:val="000000"/>
          <w:sz w:val="28"/>
          <w:szCs w:val="28"/>
        </w:rPr>
        <w:t>1.2.3. Việc soạn thảo các chuẩn mực kế toán Việt Nam không dựa trên một Khung Khái niệm (conceptual framework) :</w:t>
      </w:r>
      <w:bookmarkEnd w:id="41"/>
      <w:r w:rsidRPr="00FB7DA8">
        <w:rPr>
          <w:rFonts w:ascii="Times New Roman" w:hAnsi="Times New Roman" w:cs="Times New Roman"/>
          <w:color w:val="000000"/>
          <w:sz w:val="28"/>
          <w:szCs w:val="28"/>
        </w:rPr>
        <w:t xml:space="preserve"> </w:t>
      </w:r>
    </w:p>
    <w:p w:rsidR="002126EF" w:rsidRPr="00FB7DA8" w:rsidRDefault="002126EF" w:rsidP="00FB7DA8">
      <w:pPr>
        <w:pStyle w:val="ListParagraph"/>
        <w:widowControl w:val="0"/>
        <w:spacing w:line="264" w:lineRule="auto"/>
        <w:ind w:left="0" w:firstLine="567"/>
        <w:jc w:val="both"/>
        <w:rPr>
          <w:color w:val="000000"/>
          <w:sz w:val="28"/>
          <w:szCs w:val="28"/>
        </w:rPr>
      </w:pPr>
      <w:r w:rsidRPr="00FB7DA8">
        <w:rPr>
          <w:color w:val="000000"/>
          <w:sz w:val="28"/>
          <w:szCs w:val="28"/>
        </w:rPr>
        <w:t xml:space="preserve">Một vấn đề lớn nữa đối với việc soạn thảo và ban hành các chuẩn mực kế toán ở Việt Nam là chúng ta hiện nay chưa có một </w:t>
      </w:r>
      <w:r w:rsidRPr="00FB7DA8">
        <w:rPr>
          <w:b/>
          <w:bCs/>
          <w:color w:val="000000"/>
          <w:sz w:val="28"/>
          <w:szCs w:val="28"/>
        </w:rPr>
        <w:t xml:space="preserve">khung khái niệm </w:t>
      </w:r>
      <w:r w:rsidRPr="00FB7DA8">
        <w:rPr>
          <w:color w:val="000000"/>
          <w:sz w:val="28"/>
          <w:szCs w:val="28"/>
        </w:rPr>
        <w:t xml:space="preserve">(conceptual framework) để cung cấp nền tảng và những nguyên tắc cơ bản cho việc soạn thảo cũng như phát triển các chuẩn mực kế toán. Mục đích của việc xây dưng khung khái niệm là để đảm bảo rằng các chuẩn mực kế toán quốc tế được soạn thảo không mẫu thuẫn với nhau và cung cấp một cơ sở để đánh giá xem một hành vi không tuân theo chuẩn mực có thể được chấp nhận hay không nếu như nó khụng đi ngược lại các nguyên tắc đã được đề ra trong khung khái niệm. Có thể nói, khung khái niệm có chức năng như hiến pháp của một nước, đề ra các nguyên tắc cơ bản cho một hệ thống kế toán mà các chuẩn mực kế toán được soạn thảo theo khung khái niệm này không được có bất cứ quy định nào đi ngược lại tinh thần của khung khái niệm đó.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Thiếu một khung khái niệm được xây dựng một cách rõ ràng, hoàn chỉnh dẫn đến việc hệ thống kế toán sẽ phải xây dựng theo hướng dựa trên các quy định và Việt Nam hiện đang đi theo hướng đó. Có rất nhiều quy định được soạn thảo để hướng dẫn cách hạch toán từng nghiệp vụ kinh tế cụ thể. Điều đó không chỉ làm cho hệ thống kế toán trở nên cồng kềnh mà còn khiến cho các quy định trong trong chuẩn mực được ban hành trước có thể không thống nhất với chẩn mực được ban hành sau.</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Những vấn đề trong việc xây dừng chuẩn mực kế toán Việt Nam được nêu ở trên là điều dễ hiểu vì quan điểm của xây dựng hệ thống chuẩn mực kế toán Việt Nam là phải phù hợp với điều kiện thực tế của Việt Nam, phù hợp với đặc thù về trình độ phát triển kinh tế, cơ chế chính trị, hệ thống pháp luật, văn hóa, xã hội của Việt Nam, phù hợp với trình độ nguồn nhân lực kế toán của Việt Nam. Những vấn đề này chỉ là tạm thời và sẽ dần dần được giải quyết khi nền kinh tế Việt Nam phát triển đến mức độ cao hơn, trình độ của nguồn nhân lực kế toán tốt hơn.</w:t>
      </w:r>
    </w:p>
    <w:p w:rsidR="002126EF" w:rsidRPr="00FB7DA8" w:rsidRDefault="002126EF" w:rsidP="00FB7DA8">
      <w:pPr>
        <w:pStyle w:val="Heading2"/>
        <w:spacing w:before="0" w:after="0" w:line="264" w:lineRule="auto"/>
        <w:ind w:firstLine="567"/>
        <w:jc w:val="both"/>
        <w:rPr>
          <w:rFonts w:ascii="Times New Roman" w:hAnsi="Times New Roman" w:cs="Times New Roman"/>
          <w:i w:val="0"/>
          <w:iCs w:val="0"/>
          <w:color w:val="000000"/>
        </w:rPr>
      </w:pPr>
      <w:bookmarkStart w:id="42" w:name="_Toc261404114"/>
      <w:r w:rsidRPr="00FB7DA8">
        <w:rPr>
          <w:rFonts w:ascii="Times New Roman" w:hAnsi="Times New Roman" w:cs="Times New Roman"/>
          <w:i w:val="0"/>
          <w:iCs w:val="0"/>
          <w:color w:val="000000"/>
        </w:rPr>
        <w:t>2. Cơ chế ban hành các chuẩn mực kế toán Việt Nam:</w:t>
      </w:r>
      <w:bookmarkEnd w:id="42"/>
    </w:p>
    <w:p w:rsidR="002126EF" w:rsidRPr="00FB7DA8" w:rsidRDefault="002126EF" w:rsidP="00FB7DA8">
      <w:pPr>
        <w:pStyle w:val="ListParagraph"/>
        <w:spacing w:line="264" w:lineRule="auto"/>
        <w:ind w:left="142" w:firstLine="567"/>
        <w:jc w:val="both"/>
        <w:rPr>
          <w:color w:val="000000"/>
          <w:sz w:val="28"/>
          <w:szCs w:val="28"/>
        </w:rPr>
      </w:pPr>
      <w:r w:rsidRPr="00FB7DA8">
        <w:rPr>
          <w:color w:val="000000"/>
          <w:sz w:val="28"/>
          <w:szCs w:val="28"/>
        </w:rPr>
        <w:t>Tại Việt nam, Quốc hội có thẩm quyền ban hành Luật kế toán. Bộ Tài Chính có thẩm quyền ban hành các chuẩn mực kế toán.</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Các chuẩn mực kế toán được nghiên cứu và soạn thảo bởi ban chỉ đạo nghiên cứu, soạn thảo chuẩn mực kế toán Việt Nam. Ban chỉ đạo gồm 13 thành viên, ngoài các thành viên từ các cơ quan thuộc Bộ Tài Chính còn bổ sung thờm cỏc thành viên từ các trường đại học và Hội kế toán  Việt Nam. Vụ chế độ kế toán là đơn vị thường trực của các ban chỉ đạo và các tổ soạn thảo chuẩn mực, có nhiệm vụ tổ chức triển khai việc soạn thảo, tiếp thu ý kiến và hoàn chỉnh trình Bộ ký ban hành.</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Hội đồng quốc gia về kế toán thuộc Bộ Tài Chính có chức năng tư vấn cho Bộ Trưởng Bộ Tài Chính về chiến lược, chính sách phát triển và các vấn đề khác liên quan đến kế toán, kiểm toán. Hội đồng bao gồm 1 chủ tịch, 2 phó chủ tịch và 14 ủy viên đến từ Bộ Tài Chính, các trường đại học và các bộ ngành. Bộ phận thường trực của Hội Đồng đặt tại vụ chế độ kế toán – Bộ Tài Chính.</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Theo Quyết định số 47/2005/QĐ-BTC,thỡ Bộ Tài Chính đó cú lộ trình bàn giao dần chức năng ban hành các chuẩn mực kế toán và kiểm toán cho Hội Kế toán và Kiểm toán Việt Nam, có tên gọi tắt theo tiếng Anh là VAA (Vietnamese Association of Accountants and Auditors).</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 Theo tác giả nhận định thì cơ chế soạn thảo chuẩn mực kế toán ở Việt Nam có một số vấn đề sau:</w:t>
      </w:r>
    </w:p>
    <w:p w:rsidR="002126EF" w:rsidRPr="00FB7DA8" w:rsidRDefault="002126EF" w:rsidP="00FB7DA8">
      <w:pPr>
        <w:pStyle w:val="ListParagraph"/>
        <w:spacing w:line="264" w:lineRule="auto"/>
        <w:ind w:left="0" w:firstLine="567"/>
        <w:jc w:val="both"/>
        <w:rPr>
          <w:color w:val="000000"/>
          <w:sz w:val="28"/>
          <w:szCs w:val="28"/>
        </w:rPr>
      </w:pPr>
      <w:r w:rsidRPr="00FB7DA8">
        <w:rPr>
          <w:b/>
          <w:bCs/>
          <w:color w:val="000000"/>
          <w:sz w:val="28"/>
          <w:szCs w:val="28"/>
        </w:rPr>
        <w:t>Một là</w:t>
      </w:r>
      <w:r w:rsidRPr="00FB7DA8">
        <w:rPr>
          <w:color w:val="000000"/>
          <w:sz w:val="28"/>
          <w:szCs w:val="28"/>
        </w:rPr>
        <w:t>, việc để cơ quan phụ trách soạn thảo và ban hành chuẩn mực kế toán là Bộ Tài chính sẽ khiến các chuẩn mực được soạn thảo có thể không khách quan, bị thiên lệch để phục vụ lợi ích của Nhà Nước hay của một nhóm lợi ích nào đó. Do Bộ Tài Chính cũng phụ trách việc soạn thảo và ban hành các thông tư hướng dẫn thi hành các luật thuế cũng như tham gia vào việc quyết định  các chính sách tài chính của Nhà Nước, các chuẩn mực kế toán được soạn thảo bởi Bộ Tài Chính có khả năng bị ảnh hưởng bởi các luật thuế và các chính sách tài chính. Các chuẩn mực có khả năng được soạn thảo để tận thu thuế nhiều nhất hay để phù hợp với các chính sách tài chính của Nhà Nước. Các doanh nghiệp cũng có thể can thiệp vào quá trình soạn thảo bằng việc vận động hành lang những người có tham gia vào quá trình soạn thảo hay những người có thẩm quyền quyết định ban hành chuẩn mực kế toán.</w:t>
      </w:r>
    </w:p>
    <w:p w:rsidR="002126EF" w:rsidRPr="00FB7DA8" w:rsidRDefault="002126EF" w:rsidP="00FB7DA8">
      <w:pPr>
        <w:pStyle w:val="ListParagraph"/>
        <w:spacing w:line="264" w:lineRule="auto"/>
        <w:ind w:left="0" w:firstLine="567"/>
        <w:jc w:val="both"/>
        <w:rPr>
          <w:color w:val="000000"/>
          <w:sz w:val="28"/>
          <w:szCs w:val="28"/>
        </w:rPr>
      </w:pPr>
      <w:r w:rsidRPr="00FB7DA8">
        <w:rPr>
          <w:b/>
          <w:bCs/>
          <w:color w:val="000000"/>
          <w:sz w:val="28"/>
          <w:szCs w:val="28"/>
        </w:rPr>
        <w:t>Hai là</w:t>
      </w:r>
      <w:r w:rsidRPr="00FB7DA8">
        <w:rPr>
          <w:color w:val="000000"/>
          <w:sz w:val="28"/>
          <w:szCs w:val="28"/>
        </w:rPr>
        <w:t>, cơ chế soạn thảo chuẩn mực kế toán của Việt Nam cũng chưa có chỗ cho việc lấy ý kiến của công chúng đặc biệt là các bên liên quan như các doanh nghiệp trong mọi lĩnh vực hay những người hành nghề kế toán, kiểm toán. Cho dù là việc soạn thảo chuẩn mực kế toán có được thực hiện bởi rất nhiều người có kinh nghiệm và tri thức về kế toán thì cũng không thể tránh khỏi việc các chuẩn mực đưa ra các quy định không rõ ràng, thiếu tính thực tiễn, gây khó khăn cho hoạt động của doanh nghiệp. Cho nên việc lấy ý kiến của công chúng không chỉ được thực hiện sau khi ban hành chuẩn mực mà nên được tiến hành khi đang trong quá trình soạn thảo.</w:t>
      </w:r>
    </w:p>
    <w:p w:rsidR="002126EF" w:rsidRPr="00FB7DA8" w:rsidRDefault="002126EF" w:rsidP="00FB7DA8">
      <w:pPr>
        <w:pStyle w:val="ListParagraph"/>
        <w:spacing w:line="264" w:lineRule="auto"/>
        <w:ind w:left="0" w:firstLine="567"/>
        <w:jc w:val="both"/>
        <w:rPr>
          <w:color w:val="000000"/>
          <w:sz w:val="28"/>
          <w:szCs w:val="28"/>
        </w:rPr>
      </w:pPr>
      <w:r w:rsidRPr="00FB7DA8">
        <w:rPr>
          <w:b/>
          <w:bCs/>
          <w:color w:val="000000"/>
          <w:sz w:val="28"/>
          <w:szCs w:val="28"/>
        </w:rPr>
        <w:t xml:space="preserve">Ba là, </w:t>
      </w:r>
      <w:r w:rsidRPr="00FB7DA8">
        <w:rPr>
          <w:color w:val="000000"/>
          <w:sz w:val="28"/>
          <w:szCs w:val="28"/>
        </w:rPr>
        <w:t xml:space="preserve">không nên giao việc soạn thảo chuẩn mực kế toán cho Hội kế toán và kiểm toán Việt Nam (VAA) vì như vậy là đi ngược lại xu hướng chung của thế giới. Như đã phân tích ở phần 2.1.1. về hoạt động của IASC, sự thay đổi từ IASC sang IASB là tuân theo xu hướng chuyển đổi từ mô hình để cho hội nghề nghiệp soạn thảo các chuẩn mực kế toán sang mô hình giao việc soạn thảo các chuẩn mực cho một hội đồng chuyên trách và độc lập. Như vậy nếu giao việc soạn thảo các chuẩn mực kế toán cho VAA là Việt Nam đang đi ngược lại xu hướng  chung của thế giới. VAA là hội của những kế toán và kiểm toán viên, họ là những người phải tuân theo chuẩn mực kế toán trong quá trình hoạt động của mình. Nếu để cho những người tuân theo chuẩn mực phụ trách việc soạn thảo chuẩn mực thì chẳng khác nào để cho họ tự đề ra luật chơi cho chính mình.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Do đó, tác giả cho rằng nên thành lập một hội đồng soạn thảo chuẩn mực kế toán riêng  giống như mô hình của Hội đồng các chuẩn mực kế toán tài chính (FASB) của Mỹ hoặc Hội đồng chuẩn mực kế toán (ASB) của Anh. Hội đồng này sẽ hoàn toàn độc lập với cả Bộ Tài Chính lẫn VAA, chuyên trách về việc soạn thảo các chuẩn mực kế toán.  </w:t>
      </w:r>
    </w:p>
    <w:p w:rsidR="002126EF" w:rsidRPr="00FB7DA8" w:rsidRDefault="002126EF" w:rsidP="00FB7DA8">
      <w:pPr>
        <w:pStyle w:val="Heading2"/>
        <w:spacing w:before="0" w:after="0" w:line="264" w:lineRule="auto"/>
        <w:ind w:firstLine="567"/>
        <w:jc w:val="both"/>
        <w:rPr>
          <w:rFonts w:ascii="Times New Roman" w:hAnsi="Times New Roman" w:cs="Times New Roman"/>
          <w:i w:val="0"/>
          <w:iCs w:val="0"/>
          <w:color w:val="000000"/>
        </w:rPr>
      </w:pPr>
      <w:bookmarkStart w:id="43" w:name="_Toc259077508"/>
      <w:bookmarkStart w:id="44" w:name="_Toc259077553"/>
      <w:bookmarkStart w:id="45" w:name="_Toc261404115"/>
      <w:r w:rsidRPr="00FB7DA8">
        <w:rPr>
          <w:rFonts w:ascii="Times New Roman" w:hAnsi="Times New Roman" w:cs="Times New Roman"/>
          <w:i w:val="0"/>
          <w:iCs w:val="0"/>
          <w:color w:val="000000"/>
        </w:rPr>
        <w:t>3. Vai trò của các chuẩn mực kế toán đối với nền kinh tế Việt Nam:</w:t>
      </w:r>
      <w:bookmarkEnd w:id="43"/>
      <w:bookmarkEnd w:id="44"/>
      <w:bookmarkEnd w:id="45"/>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46" w:name="_Toc261404116"/>
      <w:r w:rsidRPr="00FB7DA8">
        <w:rPr>
          <w:rFonts w:ascii="Times New Roman" w:hAnsi="Times New Roman" w:cs="Times New Roman"/>
          <w:color w:val="000000"/>
          <w:sz w:val="28"/>
          <w:szCs w:val="28"/>
        </w:rPr>
        <w:t>3.1. Thu hút vốn đầu tư nước ngoài và góp phần phát triển thị trường chứng khoán Việt Nam :</w:t>
      </w:r>
      <w:bookmarkEnd w:id="46"/>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Việt Nam đang thúc đẩy sự phát triển của nền kinh tế thị trường với việc đa dạng hóa các loại hình doanh nghiệp, các thành phần kinh tế khác ngoài doanh nghiệp nhà nước. Trước đây, chúng ta chỉ có những chính sách tài chính, quy định dành riêng cho các doanh nghiệp nhà nước mà không cú cỏc chính sách và quy định đối với doanh nghiệp cổ phần và trách nhiệm hữu hạn, từ đó, không tạo ra môi trường bình đẳng và sự đồng nhất, có thể so sánh được. Còn ngày nay, cạnh tranh mạnh mẽ hơn, bình đẳng hơn đòi hỏi các doanh nghiệp phải công khai thông tin một cách hữu hiệu hơn để tăng cường thu hút đầu tư. Thêm vào đó nhu cầu của nhà đầu tư là có một cơ sở để so sánh các công ty với nhau nhằm đưa ra các quyết định đầu tư bắt đầu nảy sinh cùng với sự ra đời của thị trường chứng khoán Việt Nam và sự thay đổi trong chính sách đầu tư của Việt Nam. Đó là Chính phủ Việt Nam ngày càng mong muốn kêu gọi các nhà đầu tư nước ngoài đổ vốn vào Việt Nam.</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Do đó, sự ra đời của hệ thống chuẩn mực kế toán đã đáp ứng nhu cầu minh bạch hóa thông tin của doanh nghiệp thụng cỏc báo cáo tài chính có khả năng phản ánh đúng thực trạng kinh doanh của doanh nghiệp và tạo một cơ sở chung để so sánh các doanh nghiệp với nhau. Không phải chỉ là sự so sánh giữa các loại hình doanh nghiệp ở Việt Nam, mà còn có thể so sánh doanh nghiệp Việt Nam với những doanh nghiệp nước ngoài, hoặc là doanh nghiệp nước ngoài cũng có thể so sánh với doanh nghiệp Việt Nam. Vì thế, mục tiêu của chuẩn mực kế toán là rất cao và khác hẳn với cơ chế chính sách mà Việt Nam đó cú từ những năm trước.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Đõy chính là tiền đề cho sự phát triển của thị trường chứng khoán Việt Nam vì yêu cầu đặt ra đối với các công ty niêm yết là phải công khai, minh bạch thông tin và báo cáo tài chính trung thực. </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Đây cũng là một nhân tố tạo lòng tin cho nhà đầu tư nước ngoài do rủi ro đối với việc thông tin tài chính không được minh bạch hóa ở Việt Nam đã được giảm bớt. Nhà đầu tư nước ngoài có thể an tâm hơn khi đầu tư ở Việt Nam.</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Cả hai điều này cộng lại đó giỳp doanh nghiệp Việt Nam huy động vốn được dễ dàng hơn, là nền tảng cho sự phát triển kinh tế ở Việt Nam.</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47" w:name="_Toc261404117"/>
      <w:r w:rsidRPr="00FB7DA8">
        <w:rPr>
          <w:rFonts w:ascii="Times New Roman" w:hAnsi="Times New Roman" w:cs="Times New Roman"/>
          <w:color w:val="000000"/>
          <w:sz w:val="28"/>
          <w:szCs w:val="28"/>
        </w:rPr>
        <w:t>3.2. Quản lý tài chính ở tầm vĩ mô của Nhà Nước :</w:t>
      </w:r>
      <w:bookmarkEnd w:id="47"/>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 xml:space="preserve">Hệ thống chuẩn mực kế toán có vai trò không nhỏ trong việc quản lý tài chính tầm vĩ mô của Nhà nước thông qua hệ thống các cơ quan chức năng như thuế, thanh tra tài chớnh… . Đối với các cơ quan chức năng của Nhà nước, hệ thống chuẩn mực kế toán là một trong những cơ sở để kiểm tra, kiểm soát đánh giá trách nhiệm của kế toán và những người có liên quan đồng thời thông qua đó nhằm nâng cao chất lượng nghề nghiệp của chớnh cỏc cơ quan quản lý này. Vì vậy, đội ngũ cán bộ thuế, thanh tra tài chính...  phải thường xuyên bồi dưỡng nâng cao kiến thức nghiệp vụ kế toán thường xuyên mới đáp ứng được yêu cầu công việc. </w:t>
      </w:r>
    </w:p>
    <w:p w:rsidR="002126EF" w:rsidRPr="00FB7DA8" w:rsidRDefault="002126EF" w:rsidP="00FB7DA8">
      <w:pPr>
        <w:pStyle w:val="Heading3"/>
        <w:spacing w:before="0" w:after="0" w:line="264" w:lineRule="auto"/>
        <w:ind w:firstLine="567"/>
        <w:jc w:val="both"/>
        <w:rPr>
          <w:rFonts w:ascii="Times New Roman" w:hAnsi="Times New Roman" w:cs="Times New Roman"/>
          <w:color w:val="000000"/>
          <w:sz w:val="28"/>
          <w:szCs w:val="28"/>
        </w:rPr>
      </w:pPr>
      <w:bookmarkStart w:id="48" w:name="_Toc261404118"/>
      <w:r w:rsidRPr="00FB7DA8">
        <w:rPr>
          <w:rFonts w:ascii="Times New Roman" w:hAnsi="Times New Roman" w:cs="Times New Roman"/>
          <w:color w:val="000000"/>
          <w:sz w:val="28"/>
          <w:szCs w:val="28"/>
        </w:rPr>
        <w:t>3.3. Góp phần phát triển hoạt động kế toán, kiểm toán ở Việt Nam :</w:t>
      </w:r>
      <w:bookmarkEnd w:id="48"/>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Khi gia nhập WTO, Việt Nam cam kết mở cửa hội nhập về dịch vụ kế toán, kiểm toán. Kế toán, kiểm toán đã trở thành một nghề nghiệp được xã hội và pháp luật thừa nhận thì sự cần thiết phải có chuẩn mực kế toán để hướng dẫn và kiểm tra là tất yếu</w:t>
      </w:r>
    </w:p>
    <w:p w:rsidR="002126EF" w:rsidRPr="00FB7DA8" w:rsidRDefault="002126EF" w:rsidP="00FB7DA8">
      <w:pPr>
        <w:pStyle w:val="ListParagraph"/>
        <w:spacing w:line="264" w:lineRule="auto"/>
        <w:ind w:left="0" w:firstLine="567"/>
        <w:jc w:val="both"/>
        <w:rPr>
          <w:color w:val="000000"/>
          <w:sz w:val="28"/>
          <w:szCs w:val="28"/>
        </w:rPr>
      </w:pPr>
      <w:r w:rsidRPr="00FB7DA8">
        <w:rPr>
          <w:color w:val="000000"/>
          <w:sz w:val="28"/>
          <w:szCs w:val="28"/>
        </w:rPr>
        <w:t>Thực tế vận dụng chuẩn mực kế toán Việt Nam  vào thực tiễn cho thấy về cơ bản nội dung của các chuẩn mực kế toán Việt Nam là có sự thống nhất, không có sự xung đột với các cơ chế tài chính hiện hành nhờ đó tạo điều kiện thuận lợi cho các doanh nghiệp trong quá trình thực hiện.</w:t>
      </w:r>
    </w:p>
    <w:p w:rsidR="002126EF" w:rsidRPr="00FB7DA8" w:rsidRDefault="002126EF" w:rsidP="00FB7DA8">
      <w:pPr>
        <w:spacing w:line="264" w:lineRule="auto"/>
        <w:jc w:val="both"/>
        <w:rPr>
          <w:b/>
          <w:bCs/>
          <w:color w:val="000000"/>
          <w:sz w:val="28"/>
          <w:szCs w:val="28"/>
        </w:rPr>
      </w:pPr>
      <w:r w:rsidRPr="00FB7DA8">
        <w:rPr>
          <w:color w:val="000000"/>
          <w:sz w:val="28"/>
          <w:szCs w:val="28"/>
        </w:rPr>
        <w:tab/>
      </w:r>
      <w:r w:rsidRPr="00FB7DA8">
        <w:rPr>
          <w:b/>
          <w:bCs/>
          <w:color w:val="000000"/>
          <w:sz w:val="28"/>
          <w:szCs w:val="28"/>
        </w:rPr>
        <w:t>III. Những khác biệt giữa hệ thống chuẩn mực kế toán quốc tế và chuẩn mực kế toán Việt Nam.</w:t>
      </w:r>
    </w:p>
    <w:p w:rsidR="002126EF" w:rsidRPr="00FB7DA8" w:rsidRDefault="002126EF" w:rsidP="00FB7DA8">
      <w:pPr>
        <w:spacing w:line="264" w:lineRule="auto"/>
        <w:jc w:val="both"/>
        <w:rPr>
          <w:b/>
          <w:bCs/>
          <w:color w:val="000000"/>
          <w:sz w:val="28"/>
          <w:szCs w:val="28"/>
        </w:rPr>
      </w:pPr>
      <w:r w:rsidRPr="00FB7DA8">
        <w:rPr>
          <w:b/>
          <w:bCs/>
          <w:color w:val="000000"/>
          <w:sz w:val="28"/>
          <w:szCs w:val="28"/>
        </w:rPr>
        <w:tab/>
        <w:t>1. Những khác biệt giữa hệ thống chuẩn mực kế toán quốc tế và chuẩn mực kế toán Việt Nam.</w:t>
      </w:r>
    </w:p>
    <w:p w:rsidR="002126EF" w:rsidRPr="00292B72" w:rsidRDefault="002126EF" w:rsidP="00FB7DA8">
      <w:pPr>
        <w:spacing w:line="264" w:lineRule="auto"/>
        <w:ind w:firstLine="720"/>
        <w:jc w:val="both"/>
        <w:outlineLvl w:val="2"/>
        <w:rPr>
          <w:b/>
          <w:bCs/>
          <w:sz w:val="28"/>
          <w:szCs w:val="28"/>
        </w:rPr>
      </w:pPr>
      <w:r w:rsidRPr="00FB7DA8">
        <w:rPr>
          <w:b/>
          <w:bCs/>
          <w:sz w:val="28"/>
          <w:szCs w:val="28"/>
        </w:rPr>
        <w:t xml:space="preserve">* </w:t>
      </w:r>
      <w:r w:rsidRPr="00292B72">
        <w:rPr>
          <w:b/>
          <w:bCs/>
          <w:sz w:val="28"/>
          <w:szCs w:val="28"/>
        </w:rPr>
        <w:t>Hình Thức</w:t>
      </w:r>
    </w:p>
    <w:p w:rsidR="002126EF" w:rsidRPr="00FB7DA8" w:rsidRDefault="002126EF" w:rsidP="00FB7DA8">
      <w:pPr>
        <w:spacing w:line="264" w:lineRule="auto"/>
        <w:ind w:firstLine="720"/>
        <w:jc w:val="both"/>
        <w:rPr>
          <w:sz w:val="28"/>
          <w:szCs w:val="28"/>
        </w:rPr>
      </w:pPr>
      <w:r w:rsidRPr="00292B72">
        <w:rPr>
          <w:sz w:val="28"/>
          <w:szCs w:val="28"/>
        </w:rPr>
        <w:t>So với chuẩn mực kế toán VAS, </w:t>
      </w:r>
      <w:r w:rsidRPr="00292B72">
        <w:rPr>
          <w:b/>
          <w:bCs/>
          <w:sz w:val="28"/>
          <w:szCs w:val="28"/>
        </w:rPr>
        <w:t>IAS không bị áp đặt về hình thức</w:t>
      </w:r>
      <w:r w:rsidRPr="00292B72">
        <w:rPr>
          <w:sz w:val="28"/>
          <w:szCs w:val="28"/>
        </w:rPr>
        <w:t> </w:t>
      </w:r>
      <w:r w:rsidRPr="00292B72">
        <w:rPr>
          <w:i/>
          <w:iCs/>
          <w:sz w:val="28"/>
          <w:szCs w:val="28"/>
        </w:rPr>
        <w:t>(như hệ thống tài khoản (Chart of Account) biểu mẫu báo cáo (Accounting form), hình thức sổ kế toán (Ledgers)</w:t>
      </w:r>
      <w:r w:rsidRPr="00292B72">
        <w:rPr>
          <w:sz w:val="28"/>
          <w:szCs w:val="28"/>
        </w:rPr>
        <w:t>. IAS/IFRS hầu hết không quy định về các biểu mẫu kế toán và các doanh nghiệp sử dụng IAS/IFRS đều được tự do sử dụng hệ thống tài khoản cũng như các biểu mẫu kế toán phù hợp và thuận lợi với đặc thù của doanh nghiệp (Ví dụ như những doanh nghiệp áp dụng VAS thì tiền mặt sẽ phải có số tài khoản là 111, còn những doanh nghiệp áp dụng IAS/IFRS thì có thể tự do đặt số cho tài khoản này).</w:t>
      </w:r>
    </w:p>
    <w:p w:rsidR="002126EF" w:rsidRPr="00FB7DA8" w:rsidRDefault="002126EF" w:rsidP="00FB7DA8">
      <w:pPr>
        <w:spacing w:line="264" w:lineRule="auto"/>
        <w:ind w:firstLine="720"/>
        <w:jc w:val="both"/>
        <w:rPr>
          <w:sz w:val="28"/>
          <w:szCs w:val="28"/>
        </w:rPr>
      </w:pPr>
      <w:r w:rsidRPr="00292B72">
        <w:rPr>
          <w:sz w:val="28"/>
          <w:szCs w:val="28"/>
        </w:rPr>
        <w:t>IAS còn đưa ra một bộ khung về khái niệm và giữa các chuẩn mực đều có tính thống nhất rất cao. VAS còn nhiều vấn đề chưa rõ ràng, thiếu bộ khung về định nghĩa cũng như tính thống nhất giữa các chuẩn mực kế toán.</w:t>
      </w:r>
    </w:p>
    <w:p w:rsidR="002126EF" w:rsidRPr="00292B72" w:rsidRDefault="002126EF" w:rsidP="00FB7DA8">
      <w:pPr>
        <w:spacing w:line="264" w:lineRule="auto"/>
        <w:ind w:firstLine="720"/>
        <w:jc w:val="both"/>
        <w:rPr>
          <w:sz w:val="28"/>
          <w:szCs w:val="28"/>
        </w:rPr>
      </w:pPr>
      <w:r w:rsidRPr="00FB7DA8">
        <w:rPr>
          <w:sz w:val="28"/>
          <w:szCs w:val="28"/>
        </w:rPr>
        <w:t xml:space="preserve">* </w:t>
      </w:r>
      <w:r w:rsidRPr="00292B72">
        <w:rPr>
          <w:b/>
          <w:bCs/>
          <w:sz w:val="28"/>
          <w:szCs w:val="28"/>
        </w:rPr>
        <w:t>Hệ Thống Tài Khoản (Chart of Account)</w:t>
      </w:r>
    </w:p>
    <w:p w:rsidR="002126EF" w:rsidRPr="00FB7DA8" w:rsidRDefault="002126EF" w:rsidP="00FB7DA8">
      <w:pPr>
        <w:spacing w:line="264" w:lineRule="auto"/>
        <w:ind w:firstLine="720"/>
        <w:jc w:val="both"/>
        <w:rPr>
          <w:sz w:val="28"/>
          <w:szCs w:val="28"/>
        </w:rPr>
      </w:pPr>
      <w:r w:rsidRPr="00292B72">
        <w:rPr>
          <w:sz w:val="28"/>
          <w:szCs w:val="28"/>
        </w:rPr>
        <w:t>IAS/IFRS</w:t>
      </w:r>
      <w:r w:rsidRPr="00292B72">
        <w:rPr>
          <w:b/>
          <w:bCs/>
          <w:sz w:val="28"/>
          <w:szCs w:val="28"/>
        </w:rPr>
        <w:t> </w:t>
      </w:r>
      <w:r w:rsidRPr="00292B72">
        <w:rPr>
          <w:sz w:val="28"/>
          <w:szCs w:val="28"/>
        </w:rPr>
        <w:t>chỉ quy định về hình thức của các báo cáo tài chính theo IAS 1 mà không quy định về hệ thống tài khoản kế toán. Doanh nghiệp được phép tự tạo ra hệ thống tài khoản kế toán để phù hợp hơn với yêu cầu về báo cáo tài chính cũng như báo cáo quản trị.</w:t>
      </w:r>
    </w:p>
    <w:p w:rsidR="002126EF" w:rsidRPr="00FB7DA8" w:rsidRDefault="002126EF" w:rsidP="00FB7DA8">
      <w:pPr>
        <w:spacing w:line="264" w:lineRule="auto"/>
        <w:ind w:firstLine="720"/>
        <w:jc w:val="both"/>
        <w:rPr>
          <w:sz w:val="28"/>
          <w:szCs w:val="28"/>
        </w:rPr>
      </w:pPr>
      <w:r w:rsidRPr="00292B72">
        <w:rPr>
          <w:sz w:val="28"/>
          <w:szCs w:val="28"/>
        </w:rPr>
        <w:t xml:space="preserve">Việc bắt buộc đối với doanh nghiệp về hệ thống tài khoản đôi khi gây ra những bất lợi cho những doanh nghiệp nước ngoài tại Việt Nam vì các doanh nghiệp thường gặp khó khăn trong chuyển đổi và làm giảm tính thống nhất giữa các công ty trong cùng tập đoàn. </w:t>
      </w:r>
    </w:p>
    <w:p w:rsidR="002126EF" w:rsidRPr="00FB7DA8" w:rsidRDefault="002126EF" w:rsidP="00FB7DA8">
      <w:pPr>
        <w:spacing w:line="264" w:lineRule="auto"/>
        <w:ind w:firstLine="720"/>
        <w:jc w:val="both"/>
        <w:rPr>
          <w:sz w:val="28"/>
          <w:szCs w:val="28"/>
        </w:rPr>
      </w:pPr>
      <w:r w:rsidRPr="00292B72">
        <w:rPr>
          <w:sz w:val="28"/>
          <w:szCs w:val="28"/>
        </w:rPr>
        <w:t>Có nhiều ý kiến cho rằng hệ thống tài khoản ở Việt Nam chỉ nên mang tính định hướng cho doanh nghiệp thay vì bắt buộc như hiện tại.</w:t>
      </w:r>
    </w:p>
    <w:p w:rsidR="002126EF" w:rsidRPr="00FB7DA8" w:rsidRDefault="002126EF" w:rsidP="00FB7DA8">
      <w:pPr>
        <w:spacing w:line="264" w:lineRule="auto"/>
        <w:ind w:firstLine="720"/>
        <w:jc w:val="both"/>
        <w:rPr>
          <w:sz w:val="28"/>
          <w:szCs w:val="28"/>
        </w:rPr>
      </w:pPr>
      <w:r w:rsidRPr="00FB7DA8">
        <w:rPr>
          <w:b/>
          <w:bCs/>
          <w:sz w:val="28"/>
          <w:szCs w:val="28"/>
        </w:rPr>
        <w:t>*</w:t>
      </w:r>
      <w:r w:rsidRPr="00FB7DA8">
        <w:rPr>
          <w:sz w:val="28"/>
          <w:szCs w:val="28"/>
        </w:rPr>
        <w:t xml:space="preserve"> </w:t>
      </w:r>
      <w:r w:rsidRPr="00292B72">
        <w:rPr>
          <w:b/>
          <w:bCs/>
          <w:sz w:val="28"/>
          <w:szCs w:val="28"/>
        </w:rPr>
        <w:t>Các Chuẩn Mực Kế toán Cơ Bản</w:t>
      </w:r>
    </w:p>
    <w:p w:rsidR="002126EF" w:rsidRPr="00FB7DA8" w:rsidRDefault="002126EF" w:rsidP="00FB7DA8">
      <w:pPr>
        <w:spacing w:line="264" w:lineRule="auto"/>
        <w:ind w:firstLine="720"/>
        <w:jc w:val="both"/>
        <w:rPr>
          <w:sz w:val="28"/>
          <w:szCs w:val="28"/>
        </w:rPr>
      </w:pPr>
      <w:r w:rsidRPr="00FB7DA8">
        <w:rPr>
          <w:sz w:val="28"/>
          <w:szCs w:val="28"/>
        </w:rPr>
        <w:t xml:space="preserve">- </w:t>
      </w:r>
      <w:r w:rsidRPr="00FB7DA8">
        <w:rPr>
          <w:b/>
          <w:bCs/>
          <w:sz w:val="28"/>
          <w:szCs w:val="28"/>
        </w:rPr>
        <w:t>VAS</w:t>
      </w:r>
      <w:r w:rsidRPr="00292B72">
        <w:rPr>
          <w:sz w:val="28"/>
          <w:szCs w:val="28"/>
        </w:rPr>
        <w:t xml:space="preserve"> hiện chưa có quy định cho phép tài sản và nợ phải trả được đánh giá lại theo giá trị hợp lý tại thời điểm báo cáo. Việc chưa có chuẩn mực liên quan làm suy giảm tính trung thực và hợp lý của BCTC và chưa phù hợp với IAS/IFRS.</w:t>
      </w:r>
    </w:p>
    <w:p w:rsidR="002126EF" w:rsidRPr="00FB7DA8" w:rsidRDefault="002126EF" w:rsidP="00FB7DA8">
      <w:pPr>
        <w:spacing w:line="264" w:lineRule="auto"/>
        <w:ind w:firstLine="720"/>
        <w:jc w:val="both"/>
        <w:rPr>
          <w:sz w:val="28"/>
          <w:szCs w:val="28"/>
        </w:rPr>
      </w:pPr>
      <w:r w:rsidRPr="00FB7DA8">
        <w:rPr>
          <w:sz w:val="28"/>
          <w:szCs w:val="28"/>
        </w:rPr>
        <w:t xml:space="preserve">- </w:t>
      </w:r>
      <w:r w:rsidRPr="00FB7DA8">
        <w:rPr>
          <w:b/>
          <w:bCs/>
          <w:sz w:val="28"/>
          <w:szCs w:val="28"/>
        </w:rPr>
        <w:t>VAS 21 và IAS 1</w:t>
      </w:r>
      <w:r w:rsidRPr="00292B72">
        <w:rPr>
          <w:sz w:val="28"/>
          <w:szCs w:val="28"/>
        </w:rPr>
        <w:t>: VAS quy định báo cáo tài chính không bắt buộc phải có báo cáo thay đổi vốn chủ sở hữu như chuẩn mực IAS 1. Như vậy theo IAS chúng ta có 5 cấu phần (Statement of Financial Position, Statement of Comprehensive Income, Statement of Cashflow, Statement of Changes in Equity, và Notes to Financial Statement) trong khi VAS có 4 cấu phần, riêng báo cáo thay đổi vốn chủ sở hữu sẽ được coi như 1 phần của thuyết minh báo cáo tài chính.</w:t>
      </w:r>
    </w:p>
    <w:p w:rsidR="002126EF" w:rsidRPr="00FB7DA8" w:rsidRDefault="002126EF" w:rsidP="00FB7DA8">
      <w:pPr>
        <w:spacing w:line="264" w:lineRule="auto"/>
        <w:ind w:firstLine="720"/>
        <w:jc w:val="both"/>
        <w:rPr>
          <w:sz w:val="28"/>
          <w:szCs w:val="28"/>
        </w:rPr>
      </w:pPr>
      <w:r w:rsidRPr="00FB7DA8">
        <w:rPr>
          <w:sz w:val="28"/>
          <w:szCs w:val="28"/>
        </w:rPr>
        <w:t xml:space="preserve">- </w:t>
      </w:r>
      <w:r w:rsidRPr="00FB7DA8">
        <w:rPr>
          <w:b/>
          <w:bCs/>
          <w:sz w:val="28"/>
          <w:szCs w:val="28"/>
        </w:rPr>
        <w:t>VAS 3</w:t>
      </w:r>
      <w:r w:rsidRPr="00292B72">
        <w:rPr>
          <w:sz w:val="28"/>
          <w:szCs w:val="28"/>
        </w:rPr>
        <w:t xml:space="preserve"> chỉ cho phép đánh giá lại tài sản cố định là bất động sản, nhà xưởng và thiết bị trong trường hợp có quyết định của Nhà nước, đưa tài sản đi góp vốn liên doanh, liên kết, chia tách, sáp nhập doanh nghiệp và không được ghi nhận phần tổn thất tài sản hàng năm. Trong khi đó, theo IAS 16, doanh nghiệp được phép đánh giá lại tài sản theo giá thị trường và được xác định phần tổn thất tài sản hàng năm, đồng thời được ghi nhận phần tổn thất này theo quy định tại IAS 36.</w:t>
      </w:r>
    </w:p>
    <w:p w:rsidR="002126EF" w:rsidRPr="00FB7DA8" w:rsidRDefault="002126EF" w:rsidP="00FB7DA8">
      <w:pPr>
        <w:spacing w:line="264" w:lineRule="auto"/>
        <w:ind w:firstLine="720"/>
        <w:jc w:val="both"/>
        <w:rPr>
          <w:sz w:val="28"/>
          <w:szCs w:val="28"/>
        </w:rPr>
      </w:pPr>
      <w:r w:rsidRPr="00FB7DA8">
        <w:rPr>
          <w:sz w:val="28"/>
          <w:szCs w:val="28"/>
        </w:rPr>
        <w:t xml:space="preserve">- </w:t>
      </w:r>
      <w:r w:rsidRPr="00FB7DA8">
        <w:rPr>
          <w:b/>
          <w:bCs/>
          <w:sz w:val="28"/>
          <w:szCs w:val="28"/>
        </w:rPr>
        <w:t>VAS 11</w:t>
      </w:r>
      <w:r w:rsidRPr="00292B72">
        <w:rPr>
          <w:sz w:val="28"/>
          <w:szCs w:val="28"/>
        </w:rPr>
        <w:t xml:space="preserve"> quy định lợi thế thương mại được phân bổ dần trong thời gian không quá 10 năm kể từ ngày mua trong giao dịch hợp nhất kinh doanh. Trong khi đó, IFRS 3 quy định doanh nghiệp phải đánh giá giá trị lợi thế thương mại tổn thất.</w:t>
      </w:r>
    </w:p>
    <w:p w:rsidR="002126EF" w:rsidRPr="00FB7DA8" w:rsidRDefault="002126EF" w:rsidP="00FB7DA8">
      <w:pPr>
        <w:spacing w:line="264" w:lineRule="auto"/>
        <w:ind w:firstLine="720"/>
        <w:jc w:val="both"/>
        <w:rPr>
          <w:color w:val="000000"/>
          <w:sz w:val="28"/>
          <w:szCs w:val="28"/>
        </w:rPr>
      </w:pPr>
      <w:r w:rsidRPr="00FB7DA8">
        <w:rPr>
          <w:b/>
          <w:bCs/>
          <w:color w:val="000000"/>
          <w:sz w:val="28"/>
          <w:szCs w:val="28"/>
        </w:rPr>
        <w:t>* Hệ thống kế toán và chuẩn mực quốc tế về kế toán (IASs/IFRSs) được soạn thảo bởi Hội đồng chuẩn mực kế toán quốc tế (IASB).</w:t>
      </w:r>
      <w:r w:rsidRPr="00FB7DA8">
        <w:rPr>
          <w:color w:val="000000"/>
          <w:sz w:val="28"/>
          <w:szCs w:val="28"/>
        </w:rPr>
        <w:t xml:space="preserve"> </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Nó được soạn thảo và công bố theo những quy trình rất chặt chẽ để đảm bảo chất lượng của các chuẩn mực và đảm bảo tính thực hành cao. IASs/IFRSs được sử dụng rộng rãi ở khắp thế giới như châu Âu, Singapore, Hồng Kông, Úc và nhiều quốc gia trên thế giới. Rất nhiều quốc gia khác của châu Á và trên thế giới đang điều chỉnh các chuẩn mực của mình để phù hợp hơn với IFRS và giảm thiểu sự khác nhau nếu có.</w:t>
      </w:r>
    </w:p>
    <w:p w:rsidR="002126EF" w:rsidRPr="00FB7DA8" w:rsidRDefault="002126EF" w:rsidP="00FB7DA8">
      <w:pPr>
        <w:spacing w:line="264" w:lineRule="auto"/>
        <w:ind w:firstLine="720"/>
        <w:jc w:val="both"/>
        <w:rPr>
          <w:b/>
          <w:bCs/>
          <w:color w:val="000000"/>
          <w:sz w:val="28"/>
          <w:szCs w:val="28"/>
        </w:rPr>
      </w:pPr>
      <w:r w:rsidRPr="00FB7DA8">
        <w:rPr>
          <w:color w:val="000000"/>
          <w:sz w:val="28"/>
          <w:szCs w:val="28"/>
        </w:rPr>
        <w:t>Khác với hệ thống kế toán Việt Nam (VAS), hệ thống kế toán quốc tế (IAS) không có sự bắt buộc mang tính hình thức (như biểu mẫu báo cáo thống nhất, hệ thống tài khoản kế toán thống nhất, hình thức sổ kế toán, mẫu các chứng từ gốc thống nhất). IAS mặc dù đưa ra rất chi tiết các định nghĩa, phương pháp làm, cách trình bày và những thông tin bắt buộc phải trình bày trong các báo cáo tài chính nhưng IAS không bắt buộc phải sử dụng chung các biểu mẫu báo cáo tài chính, hệ thống tài khoản, các hệ thống chứng từ, sổ kế toán. IAS có bộ khung khái niệm và tính thống nhất cao giữa các chuẩn mực. VAS còn nhiều vấn đề chưa rõ ràng, thiếu nhiều vấn đề và đặc biệt là còn mâu thuẫn giữa các chuẩn mực hoặc sự không thống nhất giữa chuẩn mực và hướng dẫn về chuẩn mực đó.</w:t>
      </w:r>
    </w:p>
    <w:p w:rsidR="002126EF" w:rsidRPr="00FB7DA8" w:rsidRDefault="002126EF" w:rsidP="00FB7DA8">
      <w:pPr>
        <w:pStyle w:val="NormalWeb"/>
        <w:shd w:val="clear" w:color="auto" w:fill="FFFFFF"/>
        <w:spacing w:before="0" w:beforeAutospacing="0" w:after="0" w:afterAutospacing="0" w:line="264" w:lineRule="auto"/>
        <w:jc w:val="both"/>
        <w:rPr>
          <w:color w:val="000000"/>
          <w:sz w:val="28"/>
          <w:szCs w:val="28"/>
        </w:rPr>
      </w:pPr>
      <w:r w:rsidRPr="00FB7DA8">
        <w:rPr>
          <w:color w:val="000000"/>
          <w:sz w:val="28"/>
          <w:szCs w:val="28"/>
        </w:rPr>
        <w:t>Hầu hết những người đã được học và/hoặc làm theo các hệ thống kế toán quốc tế hay mang tính thông lệ quốc tế đều cho rằng, hệ thống tài khoản kế toán thống nhất của Việt Nam chỉ nên mang tính hướng dẫn mà không nên mang tính bắt buộc. Thông lệ kế toán quốc tế cho phép ghi nhiều Nợ đối ứng với nhiều Có trong cùng một định khoản, tuy nhiên không nên lạm dụng việc ghi nhiều Nợ đối ứng với nhiều Có để mất đi tính rõ ràng của kế toán. Mặc dù không có văn bản pháp quy nào quy định cấm ghi nhiều Nợ đối ứng với nhiều Có trong cùng một định khoản kế toán, nhưng theo một thói quen từ xưa, rất nhiều DN Việt Nam vẫn tuân theo nguyên tắc này. Tuy nhiên, nhiều DN nước ngoài tại Việt Nam lại không áp dụng.</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Hệ thống tài khoản kế toán thống nhất của Việt Nam chỉ quan tâm chủ yếu đến thông tin của báo cáo tài chính cho các nhà đầu tư chứ chưa quan tâm đến thông tin quản trị nội bộ. Theo thông lệ quốc tế, tên gọi tài khoản chính là tên gọi ngắn gọn của số dư tài khoản hay chỉ tiêu cần quản lý. Không ghép chung nhiều chỉ tiêu khác nhau vào chung một tài khoản. Các chỉ tiêu khác nhau phải được ghi chép và báo cáo theo các tài khoản riêng biệt.</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 </w:t>
      </w:r>
      <w:r w:rsidRPr="00FB7DA8">
        <w:rPr>
          <w:rStyle w:val="Strong"/>
          <w:color w:val="000000"/>
          <w:sz w:val="28"/>
          <w:szCs w:val="28"/>
        </w:rPr>
        <w:t>So sánh bảng cân đối kế toán</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IAS khác VAS trong hầu hết khoản mục của bảng cân đối kế toán như kế toán tiền, DN ghi độc lập với ngân hàng. Các khoản phải thu thương mại tách biệt với các khoản phải thu từ bán tài sản cố định (TSCĐ). Giá thành phẩm được tính theo phương pháp giá thành thông thường hơn là thực tế và nó không chấp nhận phương pháp LIFO. Các tài sản sinh vật và sản phẩm nông nghiệp thu hoạch từ các tài sản sinh vật được ghi nhận theo giá trị hợp lý trừ đi chi phí điểm bán hàng ước tính. Các khoản chứng khoán thương mại ngắn hạn được ghi nhận theo giá trị hợp lý (giá thị trường) cuối mỗi kỳ, chênh lệch được ghi vào lãi lỗ chưa thực hiện trên báo cáo kết quả. Các khoản chứng khoán sẵn sàng để bán cũng được điều chỉnh theo giá trị hợp lý cuối kỳ, nhưng nó được ghi tăng giảm vốn chủ sở hữu trên bảng cân đối kế toán không ghi vào báo cáo lãi lỗ. Việc nhận cổ tức bằng cổ phiếu không ghi tăng thu nhập mà chỉ thuần túy ghi bút toán ghi nhớ làm tăng số lượng cổ phiếu lên, đồng thời giảm đơn giá vốn nhưng tổng giá vốn không đổi.</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Các khoản đầu tư bằng trái phiếu được ghi nhận theo giá vốn đã trừ (cộng) khấu hao chiết khấu (phụ trội). Đầu tư vào công ty liên doanh được hợp nhất theo phương pháp hợp nhất tương ứng, giải pháp thay thế là theo phương pháp vốn chủ sở hữu. VAS chỉ đưa ra phương pháp vốn chủ sở hữu. Phương pháp hợp nhất tương ứng khác với hợp nhất thông thường ở chỗ chỉ phần tài sản, nợ phải trả, thu nhập và chi phí thuộc sở hữu tập đoàn là được đưa vào trong tài khoản báo cáo. Nó không có lợi ích thiểu số (minority interests). Việc hợp nhất các báo cáo tài chính bắt buộc thực hiện cho cả báo cáo năm và báo cáo giữa niên độ.</w:t>
      </w:r>
    </w:p>
    <w:p w:rsidR="002126EF" w:rsidRPr="00FB7DA8" w:rsidRDefault="002126EF" w:rsidP="00FB7DA8">
      <w:pPr>
        <w:pStyle w:val="NormalWeb"/>
        <w:shd w:val="clear" w:color="auto" w:fill="FFFFFF"/>
        <w:spacing w:before="0" w:beforeAutospacing="0" w:after="0" w:afterAutospacing="0" w:line="264" w:lineRule="auto"/>
        <w:jc w:val="both"/>
        <w:rPr>
          <w:color w:val="000000"/>
          <w:sz w:val="28"/>
          <w:szCs w:val="28"/>
        </w:rPr>
      </w:pPr>
      <w:r w:rsidRPr="00FB7DA8">
        <w:rPr>
          <w:color w:val="000000"/>
          <w:sz w:val="28"/>
          <w:szCs w:val="28"/>
        </w:rPr>
        <w:t>TSCĐ có thể lựa chọn mô hình giá phí hoặc áp dụng mô hình giá trị hợp lý nếu nó có thể đo lường một cách đáng tin cậy. Chênh lệch giá trị hợp lý giữa các kỳ được ghi vào vốn chủ sở hữu. Riêng đối với bất động sản đầu tư, chênh lệch này được phép ghi vào lãi lỗ trên báo cáo kết quả. Tuy nhiên, khi dùng mô hình giá trị hợp lý, trong phần thuyết minh, DN vẫn phải thuyết minh giá gốc của nó để nhà đầu tư có thể tự đánh giá và so sánh. TSCĐ được cho tặng ghi vào thu nhập phần phù hợp với chi phí để nhận được tiền cho tặng đó (phần khấu hao của kỳ đó chẳng hạn). Khi tài sản cố định hữu hình hoặc vô hình và tài chính bị giảm giá trị, IAS yêu cầu ghi nhận ngay vào chi phí. Theo IAS, đất đai thuộc tài sản hữu hình. Các khoản phải trả thương mại được tách biệt với các khoản phải trả do mua sắm TSCĐ hay mua tài sản tài chính. Khoản phải trả bao gồm cả các khoản thưởng và chi phí phúc lợi cho nhân viên. Vốn chủ sở hữu không bao gồm các quỹ khen thưởng, phúc lợi (Theo VAS trước ngày 31.12.2009 quỹ khen thưởng phúc lợi nằm trong mục lớn Vốn chủ sở hữu, tuy nhiên theo thông tư 244/2009/TT-BTC ngày 31.12.2009 quy định vấn đề này giống như IAS). Các khoản đánh giá lại tài sản được ghi tăng giảm vốn chủ sở hữu.</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 </w:t>
      </w:r>
      <w:r w:rsidRPr="00FB7DA8">
        <w:rPr>
          <w:rStyle w:val="Strong"/>
          <w:color w:val="000000"/>
          <w:sz w:val="28"/>
          <w:szCs w:val="28"/>
        </w:rPr>
        <w:t>So sánh báo cáo kết quả kinh doanh</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Để việc so sánh và quản trị được tốt hơn, theo IFRSs, lãi hoạt động kinh doanh là các khoản lãi lỗ từ các hoạt động kinh doanh thông thường của DN, nó không bao gồm các khoản thu nhập và chi phí tài chính. Chi phí tài chính theo thông lệ quốc tế chỉ đơn giản là chi phí lãi vay và các chi phí trực tiếp liên quan đến vay tiền bao gồm cả việc lãi lỗ do thay đổi tỷ giá ngoại tệ phát sinh từ việc vay tiền như một khoản chi phí lãi vay. Các chi phí khác và thu nhập khác theo IAS bao gồm như bất động sản đầu tư theo mô hình giá trị hợp lý, các khoản chênh lệch giá trị hợp lý cuối kỳ so với đầu kỳ được ghi nhận là lãi lỗ trong báo cáo tài chính kỳ đó. Theo VAS, chỉ áp dụng phương pháp giá gốc trừ đi khấu hao lũy kế. Do vậy, không có khoản lãi, lỗ này phát sinh. Trường hợp tài sản cố định được chính phủ cho tặng, theo IAS, DN chỉ được ghi nhận như một khoản thu nhập trong các kỳ liên quan để phù hợp với các chi phí liên quan (khấu hao) mà chúng được nhận để bù đắp. Theo VAS, nó được ghi nhận toàn bộ thu nhập vào kỳ nhận được tài sản.</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Theo IAS, lãi dùng để tính EPS cơ bản là lãi thuần thuộc các cổ đông. Nó không bao gồm các khoản lãi, nhưng được dùng để chia cho nhân viên hay đối tượng khác như quỹ khen thưởng, phúc lợi. VAS không trừ các quỹ này nên rất nhiều tình huống EPS tính theo VAS cao hơn theo IAS khá nhiều thông thường từ 5 - 15%, cá biệt có thể lên đến 30%. Theo IAS, EPS pha loãng và EPS cơ bản phải được trình bày trên bề mặt và nổi bật như nhau trên báo cáo kết quả kinh doanh. Tuy nhiên, hiện nay VAS chưa có thông tư hướng dẫn chi tiết, nên các DN vẫn không báo cáo EPS pha loãng trên báo cáo kết quả kinh doanh. Trường hợp chia cổ tức bằng cổ phiếu, khác với IAS, VAS chưa quy định việc điều chỉnh hồi tố EPS. Trong trường hợp đó, việc phân tích xu hướng EPS qua các năm theo số liệu EPS gốc (không điều chỉnh) sẽ bị sai lệnh rất nghiêm trọng.</w:t>
      </w:r>
      <w:r w:rsidRPr="00FB7DA8">
        <w:rPr>
          <w:rStyle w:val="apple-converted-space"/>
          <w:color w:val="000000"/>
          <w:sz w:val="28"/>
          <w:szCs w:val="28"/>
        </w:rPr>
        <w:t> </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Theo IAS 27, các báo cáo tài chính hợp nhất phải được lập cho các báo cáo tài chính năm và các báo cáo tài chính tạm thời giữa niên độ. Tuy nhiên, theo VAS, việc lập báo cáo tài chính hợp nhất chỉ bắt buộc đối với báo cáo năm, các báo cáo giữa niên độ chỉ mang tính khuyến khích. Điều này có nghĩa là báo cáo tài chính giữa niên độ có thể không đầy đủ và thiếu chính xác. Đây là một lỗ hổng lớn mà các nhà tạo lập chế độ kế toán phải nhanh chóng chỉnh sửa, tránh những hậu quả lớn cho các nhà đầu tư mà hiện nay họ đang phải gánh chịu. Báo cáo hợp nhất với các công ty liên doanh, theo IAS, các doanh nghiệp nên sử dụng phương pháp hợp nhất tương ứng tuy nhiên có thể sử dụng phương pháp vốn chủ sở hữu. VAS chỉ quy định phương pháp vốn chủ sở hữu.</w:t>
      </w:r>
      <w:r w:rsidRPr="00FB7DA8">
        <w:rPr>
          <w:rStyle w:val="apple-converted-space"/>
          <w:color w:val="000000"/>
          <w:sz w:val="28"/>
          <w:szCs w:val="28"/>
        </w:rPr>
        <w:t> </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 </w:t>
      </w:r>
      <w:r w:rsidRPr="00FB7DA8">
        <w:rPr>
          <w:rStyle w:val="Strong"/>
          <w:color w:val="000000"/>
          <w:sz w:val="28"/>
          <w:szCs w:val="28"/>
        </w:rPr>
        <w:t>So sánh báo cáo lưu chuyển tiền tệ</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VAS và thông tư hướng dẫn cách lập báo cáo lưu chuyển tiền tệ là lấy từ sổ quỹ tiền mặt và sổ cái tiền gửi ngân hàng tương ứng với các tài khoản đối ứng. Theo thông lệ quốc tế, việc lập báo cáo lưu chuyển tiền tệ (LCTT) chỉ căn cứ thuần túy các số liệu trên bảng cân đối kế toán số đầu kỳ và cuối kỳ, báo cáo kết quả (và có thể có thêm một vài thông tin từ sổ cái) sau đó làm các động tác điều chỉnh là ra các chỉ tiêu trên báo cáo LCTT.</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VAS hướng dẫn cách lập báo cáo LCTT theo phương pháp gián tiếp bắt đầu từ lãi trước thuế cộng trừ các khoản điều chỉnh trong đó có chênh lệch các khoản phải trả. Mặc dù trong quy định về báo cáo đã yêu cầu các khoản phải trả này không bao gồm các khoản phải trả liên quan đến hoạt động đầu tư và tài chính. Tuy nhiên, do Tài khoản 331 Phải trả cho người bán bao gồm các khoản phải trả thương mại do mua hàng hóa, nguyên liệu cho sản xuất và phải trả cho việc mua sắm tài sản cố định hay mua khác. Khi lập báo cáo LCTT, kế toán viên chỉ lấy số dư cuối kỳ trừ số dư đầu kỳ của Tài khoản 331 này. Do vậy nó làm cho dòng tiền từ hoạt động kinh doanh lẫn lộn với dòng tiền từ hoạt động đầu tư.</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2. Sự cần thiết áp dụng </w:t>
      </w:r>
      <w:r w:rsidRPr="00FB7DA8">
        <w:rPr>
          <w:rStyle w:val="Strong"/>
          <w:sz w:val="28"/>
          <w:szCs w:val="28"/>
        </w:rPr>
        <w:t>IFRS </w:t>
      </w:r>
      <w:r w:rsidRPr="00FB7DA8">
        <w:rPr>
          <w:color w:val="000000"/>
          <w:sz w:val="28"/>
          <w:szCs w:val="28"/>
        </w:rPr>
        <w:t xml:space="preserve"> </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sz w:val="28"/>
          <w:szCs w:val="28"/>
        </w:rPr>
        <w:t>Tại Việt Nam, các DN đang áp dụng theo 26 VAS do Bộ Tài chính ban hành trong việc lập BCTC. VAS được xây dựng dựa trên các IAS/IFRS, theo nguyên tắc vận dụng có chọn lọc thông lệ quốc tế, phù hợp với đặc điểm của nền kinh tế và trình độ quản lý của các DN Việt Nam tại thời điểm ban hành chuẩn mực. Trong giai đoạn trước đây, không thể phủ nhận tác dụng tích cực của VAS. Tuy nhiên, với sự thay đổi về thể chế kinh tế trong nước cũng như thay đổi trong hệ thống IFRS trong giai đoạn hiện nay, VAS đã bộc lộ nhiều tồn tại, đặc biệt là các giao dịch của nền kinh tế thị trường mới phát sinh chưa được VAS giải quyết thấu đáo, như việc ghi nhận và đánh giá tài sản, nợ phải trả theo giá trị hợp lý, ghi nhận tổn thất tài sản, kế toán các công cụ tài chính phái sinh cho mục đích kinh doanh và phòng ngừa rủi ro,… chưa được hướng dẫn cụ thể.</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sz w:val="28"/>
          <w:szCs w:val="28"/>
        </w:rPr>
        <w:t>Do vậy, để cải thiện môi trường kinh doanh, phát triển bền vững, hỗ trợ thị trường chứng khoán (TTCK), bảo vệ nhà đầu tư và thu hút đầu tư nước ngoài (ĐTNN), cần thiết phải nâng cao tính minh bạch của thông tin tài chính. Mặt khác, để có thể tiếp cận các dòng vốn trên thị trường quốc tế, niêm yết tại thị trường nước ngoài, yêu cầu lập BCTC theo IFRS đang trở thành nhu cầu ngày càng bức thiết và là xu hướng tất yếu của các tập đoàn, các công ty đại chúng Việt Nam.</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sz w:val="28"/>
          <w:szCs w:val="28"/>
        </w:rPr>
        <w:t>Việc áp dụng IFRS có đóng góp giá trị to lớn đối với tính bền vững của nền kinh tế, cụ thể IFRS tạo sự minh bạch và đồng thời, giúp nâng cao trách nhiệm giải trình bằng cách giảm bớt lỗ hổng thông tin giữa nội bộ và bên ngoài công ty. Thông qua áp dụng IFRS, các DN Việt Nam sẽ có thể được hưởng lợi từ hội nhập kinh tế như tiếp cận nguồn vốn, duy trì năng lực cạnh tranh và phát triển một cách bền vững. Theo khảo sát của IASB đánh giá toàn diện của hơn 100 nghiên cứu chuyên ngành về lợi ích của IFRS cho thấy: Hầu hết các nghiên cứu đều đưa ra các bằng chứng là “IFRS đã giúp tăng cường hiệu quả hoạt động thị trường vốn và thúc đẩy các khoản đầu tư xuyên biên giới”. Ngoài ra, đánh giá của Cộng đồng Châu Âu (EU) sau 10 năm áp dụng IFRS cũng khẳng định “IFRS đã thành công trong việc tạo ra một ngôn ngữ kế toán chung cho thị trường vốn. Chính các nhà đầu tư và các DN đã hỗ trợ IFRS trong việc cải thiện tính minh bạch và tính so sánh của BCTC”.</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sz w:val="28"/>
          <w:szCs w:val="28"/>
        </w:rPr>
        <w:t>Khi DN Việt Nam được phép áp dụng IFRS thì BCTC của DN đó, sẽ được đảm bảo theo tiêu chuẩn quốc tế và được các nhà đầu tư nước ngoài công nhận, điều đó cũng đồng nghĩa với việc tạo điều kiện cho DN có tấm vé thông hành để tiếp cận với dòng vốn trên thị trường quốc tế. Nhưng quan trọng nhất đó là, bản thân BCTC minh bạch và trung thực thì “cơ thể” của DN đó sẽ lành mạnh vì BCTC như là “mạch máu” của DN, khi người quản lý biết rõ được “bệnh” của DN thì họ sẽ có các “bài thuốc” phù hợp cho căn bệnh đó thay vì giấu giếm, rồi đến một lúc nào đó như một ung nhọt vỡ ra và không thể cứu được.</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sz w:val="28"/>
          <w:szCs w:val="28"/>
        </w:rPr>
        <w:t>IFRS giúp các DN Việt Nam và thị trường hoạt động hiệu quả hơn nhờ có một chuẩn mực phạm vi toàn cầu và đáng tin cậy, áp dụng cho cả các nền kinh tế phát triển và mới nổi. IFRS cũng hỗ trợ giảm thiểu chi phí về vốn và chi phí lập, cung cấp báo cáo.</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sz w:val="28"/>
          <w:szCs w:val="28"/>
        </w:rPr>
        <w:t>Ngoài ra, các BCTC có liên quan, có thể so sánh và phản ánh trung thực tình hình tài chính của tổ chức là điều mà các nhà đầu tư đang tìm kiếm trong việc đưa ra quyết định đầu tư của mình. Khi DN thể hiện được tất cả những hạn chế, sự kém hiệu quả của mình thông qua một bản BCTC minh bạch, trung thực thì các nhà đầu tư, chủ nợ sẽ hiểu rõ về sức khỏe của DN, giảm thiểu rủi ro cho các nhà đầu tư, ngân hàng, nhà cung cấp và rộng hơn là giảm thiểu rủi ro đối với xã hội.</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b/>
          <w:bCs/>
          <w:color w:val="000000"/>
          <w:sz w:val="28"/>
          <w:szCs w:val="28"/>
        </w:rPr>
        <w:t>3</w:t>
      </w:r>
      <w:r w:rsidRPr="00FB7DA8">
        <w:rPr>
          <w:color w:val="000000"/>
          <w:sz w:val="28"/>
          <w:szCs w:val="28"/>
        </w:rPr>
        <w:t xml:space="preserve">. </w:t>
      </w:r>
      <w:r w:rsidRPr="00FB7DA8">
        <w:rPr>
          <w:b/>
          <w:bCs/>
          <w:color w:val="000000"/>
          <w:sz w:val="28"/>
          <w:szCs w:val="28"/>
        </w:rPr>
        <w:t xml:space="preserve">Những khó khăn khi áp dụng </w:t>
      </w:r>
      <w:hyperlink r:id="rId7" w:tgtFrame="_blank" w:history="1">
        <w:r w:rsidRPr="00FB7DA8">
          <w:rPr>
            <w:rStyle w:val="Hyperlink"/>
            <w:b/>
            <w:bCs/>
            <w:color w:val="000000"/>
            <w:sz w:val="28"/>
            <w:szCs w:val="28"/>
            <w:u w:val="none"/>
          </w:rPr>
          <w:t>chuẩn mực kế toán</w:t>
        </w:r>
      </w:hyperlink>
      <w:r w:rsidRPr="00FB7DA8">
        <w:rPr>
          <w:b/>
          <w:bCs/>
          <w:color w:val="000000"/>
          <w:sz w:val="28"/>
          <w:szCs w:val="28"/>
        </w:rPr>
        <w:t xml:space="preserve"> tại các </w:t>
      </w:r>
      <w:hyperlink r:id="rId8" w:tgtFrame="_blank" w:history="1">
        <w:r w:rsidRPr="00FB7DA8">
          <w:rPr>
            <w:rStyle w:val="Hyperlink"/>
            <w:b/>
            <w:bCs/>
            <w:color w:val="000000"/>
            <w:sz w:val="28"/>
            <w:szCs w:val="28"/>
            <w:u w:val="none"/>
          </w:rPr>
          <w:t>doanh nghiệp</w:t>
        </w:r>
      </w:hyperlink>
      <w:r w:rsidRPr="00FB7DA8">
        <w:rPr>
          <w:b/>
          <w:bCs/>
          <w:color w:val="000000"/>
          <w:sz w:val="28"/>
          <w:szCs w:val="28"/>
        </w:rPr>
        <w:t xml:space="preserve"> Việt Nam</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Đến nay, Việt Nam đã xây dựng và ban hành được 26 chuẩn mực kế toán. Những chuẩn mực kế toán này được xây dựng dựa trên các chuẩn mực kế toán quốc tế nhằm đảm bảo hệ thống chuẩn mực kế toán Việt Nam đáp ứng yêu cầu hội nhập quốc tế. Doanh nghiệp (DN) Việt Nam áp dụng các chuẩn mực kế toán là một biện pháp cần thiết để đáp ứng tính minh bạch và phản ánh sự chính xác trong các báo cáo tài chính của mình, đồng thời phản ánh được các giao dịch của nền kinh tế thị trường. Tuy nhiên, từ việc ban hành chuẩn mực kế toán đến việc áp dụng các chuẩn mực kế toán là cả quá trình và gặp nhiều vướng mắc, hạn chế như hệ thống pháp luật, văn hóa, trình độ và năng lực </w:t>
      </w:r>
      <w:hyperlink r:id="rId9" w:tgtFrame="_blank" w:history="1">
        <w:r w:rsidRPr="00FB7DA8">
          <w:rPr>
            <w:rStyle w:val="Hyperlink"/>
            <w:color w:val="000000"/>
            <w:sz w:val="28"/>
            <w:szCs w:val="28"/>
            <w:u w:val="none"/>
          </w:rPr>
          <w:t>kế toán viên</w:t>
        </w:r>
      </w:hyperlink>
      <w:r w:rsidRPr="00FB7DA8">
        <w:rPr>
          <w:color w:val="000000"/>
          <w:sz w:val="28"/>
          <w:szCs w:val="28"/>
        </w:rPr>
        <w:t xml:space="preserve">, quy mô DN, hoạt động thị trường tài chính… </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 </w:t>
      </w:r>
      <w:r w:rsidRPr="00FB7DA8">
        <w:rPr>
          <w:i/>
          <w:iCs/>
          <w:color w:val="000000"/>
          <w:sz w:val="28"/>
          <w:szCs w:val="28"/>
        </w:rPr>
        <w:t>Về hệ thống văn bản pháp luật</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Hiện nay, tại Việt Nam việc tồn tại song song chuẩn mực kế toán và chế độ kế toán. Một mặt nó thể hiện sự hội nhập của Việt Nam với thông lệ chung của kế toán quốc tế, một mặt thể hiện sự quản lý thống nhất của Nhà nước về kế toán. Hệ thống pháp lý kế toán này mang dáng dấp đạo luật nên việc vận dụng chuẩn mực kế toán ở Việt Nam không thể theo mô hình Anglo - Saxon với tính linh hoạt cao về nghề nghiệp. </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Các nguyên tắc kế toán hiện hành được quy chiếu vào chế độ kế toán. Theo đó, Nhà nước có vai trò kiểm soát kế toán về phương pháp đo lường, đánh giá, soạn thảo và trình bày báo cáo; Việc soạn thảo, ban hành các chuẩn mực kế toán và các hướng dẫn thực hiện phải do các cơ quan nhà nước thực hiện và được đặt trong các bộ luật hoặc các văn bản pháp lý dưới luật. Do vậy, tính thống nhất trong công tác kế toán cao, biểu hiện qua việc tồn tại hệ thống tài khoản kế toán thống nhất, biểu mẫu tài chính thống nhất. </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Bên cạnh đó, các quy định về pháp luật thuế cũng có ảnh hưởng đối với công tác kế toán. Tại các DN ở Việt Nam, công việc ghi nhận và đo lường kế toán thường dựa trên cơ sở quy định của thuế, dẫn đến không có sự khác biệt rõ ràng giữa lợi nhuận kế toán và thuế. Nhận thức đó đã ăn sâu và tác động rất lớn vào hành vi của người làm kế toán, dù những cải cách gần đây đã thay đổi tác động của thuế đối với kế toán. Bản thân cơ quan thuế cũng như cán bộ thuế cũng chưa nắm đầy đủ về các chuẩn mực kế toán, nên có những tranh luận giữa các DN và cơ quan thuế khi cơ quan thuế nhận báo cáo tài chính của DN.</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 </w:t>
      </w:r>
      <w:r w:rsidRPr="00FB7DA8">
        <w:rPr>
          <w:i/>
          <w:iCs/>
          <w:color w:val="000000"/>
          <w:sz w:val="28"/>
          <w:szCs w:val="28"/>
        </w:rPr>
        <w:t>Về kinh nghiệm và trình độ của kế toán viên</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Lịch sử phát triển của kế toán các nước cho thấy, sự phát triển của kế toán có liên quan đến mức độ giáo dục và chuyên nghiệp của kế toán viên. Kế toán có trình độ đại học càng nhiều thì khả năng vận dụng các chuẩn mực kế toán ngày càng cao. Đây là điều phù hợp vì những kiến thức trong quá trình đào tạo sẽ giúp kế toán viên có nhận thức tốt hơn về khoa học kế toán, có khả năng vận dụng, lựa chọn các kỹ thuật, các chính sách kế toán phù hợp để tối đa hóa lợi ích của DN mình. Tuy nhiên, trong thực tiễn, nội dung các chuẩn mực còn quá mới mẻ với quá nhiều khái niệm, thuật ngữ, trong khi số kế toán viên chỉ am hiểu và vận dụng trên sơ sở các thông tư hướng dẫn chi tiết trong công tác kế toán. Đây được xem là một trong những rào cản ảnh hưởng đến việc vận dụng các chuẩn mực kế toán.</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 </w:t>
      </w:r>
      <w:r w:rsidRPr="00FB7DA8">
        <w:rPr>
          <w:i/>
          <w:iCs/>
          <w:color w:val="000000"/>
          <w:sz w:val="28"/>
          <w:szCs w:val="28"/>
        </w:rPr>
        <w:t>Về phía các doanh nghiệp Việt Nam</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Hầu hết các chủ DN rất ít sử dụng báo cáo tài chính trong việc ra quyết định đầu tư mà chủ yếu quan tâm đến vấn đề kê khai thuế. Bên cạnh đó, chi phí cho việc áp dụng các chuẩn mực kế toán như mua phần mềm và nâng cấp công nghệ, thuê tư vấn, đào tạo nhân viên hay tuyển nhân viên kế toán có trình độ cũng là rào cản khiến các DN hạn chế áp dụng chuẩn mực kế toán.</w:t>
      </w:r>
    </w:p>
    <w:p w:rsidR="002126EF" w:rsidRPr="00FB7DA8" w:rsidRDefault="002126EF" w:rsidP="00FB7DA8">
      <w:pPr>
        <w:pStyle w:val="NormalWeb"/>
        <w:shd w:val="clear" w:color="auto" w:fill="FFFFFF"/>
        <w:spacing w:before="0" w:beforeAutospacing="0" w:after="0" w:afterAutospacing="0" w:line="264" w:lineRule="auto"/>
        <w:ind w:firstLine="720"/>
        <w:jc w:val="both"/>
        <w:rPr>
          <w:color w:val="000000"/>
          <w:sz w:val="28"/>
          <w:szCs w:val="28"/>
        </w:rPr>
      </w:pPr>
      <w:r w:rsidRPr="00FB7DA8">
        <w:rPr>
          <w:color w:val="000000"/>
          <w:sz w:val="28"/>
          <w:szCs w:val="28"/>
        </w:rPr>
        <w:t xml:space="preserve">Hơn nữa, số lượng DN đang hoạt động chủ yếu là DN nhỏ và vừa. Đây được xem là rào cản đáng kể đến việc vận dụng chuẩn mực kế toán. Các DN có quy mô lớn thường hoạt động trên nhiều lĩnh vực khác nhau, mức độ phức tạp của các nghiệp vụ kinh tế rất cao, do vậy, việc vận dụng các chuẩn mực kế toán sẽ đầy đủ hơn. Các DN càng lớn càng có nhiều nguồn lực tài chính để thực hiện các chuẩn mực kế toán mới.  </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Ngoài ra, kết quả hoạt động kinh doanh của các DN cũng phần nào tác động đến việc thực hiện chuẩn mực kế toán. Thông thường, các DN có khả năng sinh lời cao sẽ mở rộng địa bàn kinh doanh, tìm kiếm các nguồn tài trợ để thực hiện các phương án kinh doanh mới. Trong bối cảnh đó, số liệu báo cáo tài chính trung thực và hợp lý luôn là một trong những tiêu chí để các đối tác xem xét trước khi ra quyết định kinh doanh.</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i/>
          <w:iCs/>
          <w:color w:val="000000"/>
          <w:sz w:val="28"/>
          <w:szCs w:val="28"/>
        </w:rPr>
        <w:t>* Về hoạt động của thị trường tài chính</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 xml:space="preserve">Thị trường tài chính (thị trường chứng khoán) của Việt Nam là một trong những thị trường non trẻ nhất trên thế giới. Đến nay, nó vẫn chưa thể hiện rõ vai trò quan trọng đối với nền kinh tế, mới chỉ trong phạm vi quốc gia, chưa liên thông với thị trường vốn trên thế giới. </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Định hướng phát triển của chuẩn mực kế toán Việt Nam để phục vụ cho các nhà đầu tư trên thị trường vốn chưa đi sâu và nhu cầu của Việt Nam về một hệ thống kế toán phức tạp để phục vụ thị trường chứng khoán là chưa cấp bách. Ngoài ra, nhiều đối tượng (nhà đầu tư) sử dụng báo cáo tài chính chưa có nhu cầu thực sự đối vối thông tin tài chính chất lượng cao, vì thông tin tài chính chỉ đóng vai trò thứ yếu trong việc ra quyết định của họ.</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color w:val="000000"/>
          <w:sz w:val="28"/>
          <w:szCs w:val="28"/>
        </w:rPr>
        <w:t>Như vậy, các rào cản trên ảnh hưởng đến việc áp dụng chuẩn mực kế toán và tác động đến lợi ích của việc áp dụng chuẩn mực kế toán. Lợi ích này được xem xét ở khả năng tiếp cận các khoản tín dụng từ ngân hàng, tính minh bạch của thông tin sẽ giúp tăng hình ảnh của DN và từ đó sẽ tạo điều kiện mở rộng hoạt động kinh doanh.</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b/>
          <w:bCs/>
          <w:color w:val="000000"/>
          <w:sz w:val="28"/>
          <w:szCs w:val="28"/>
        </w:rPr>
        <w:t>4</w:t>
      </w:r>
      <w:r w:rsidRPr="00FB7DA8">
        <w:rPr>
          <w:color w:val="000000"/>
          <w:sz w:val="28"/>
          <w:szCs w:val="28"/>
        </w:rPr>
        <w:t xml:space="preserve">. </w:t>
      </w:r>
      <w:r w:rsidRPr="00FB7DA8">
        <w:rPr>
          <w:rStyle w:val="Strong"/>
          <w:sz w:val="28"/>
          <w:szCs w:val="28"/>
        </w:rPr>
        <w:t xml:space="preserve">Định hướng áp dụng IFRS ở Việt Nam </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r w:rsidRPr="00FB7DA8">
        <w:rPr>
          <w:rStyle w:val="Emphasis"/>
          <w:b/>
          <w:bCs/>
          <w:sz w:val="28"/>
          <w:szCs w:val="28"/>
        </w:rPr>
        <w:t xml:space="preserve">Thứ nhất, áp dụng IFRS từng phần theo lộ trình phù hợp  </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Một vấn đề đặt ra cho Việt Nam hay bất kỳ quốc gia nào đang cần cập nhật các CMKT, là liệu có nên áp dụng IFRS hay điều chỉnh để phù hợp với những yêu cầu trong nước và đại đa số đã chọn áp dụng nguyên vẹn IFRS. Cụ thể, nhiều chuyên gia và tổ chức nghề nghiệp quốc tế đã khuyến cáo, Việt Nam nên áp dụng nguyên vẹn bộ Chuẩn mực IFRS, không nên áp dụng theo kiểu từng phần như một số quốc gia. Bởi vì, khi đầu tư vào Việt Nam, nhà đầu tư nước ngoài không muốn gặp rắc rối kiểu chuẩn mực IFRS bị “Việt Nam hóa”. Nhà đầu tư nước ngoài cho rằng, họ nhận được nhiều lợi ích hơn ở các quốc gia mà họ đầu tư áp dụng nguyên vẹn chuẩn mực IFRS so với các nước chỉ áp dụng 80- 90% chuẩn mực này. IFRS là ngôn ngữ kế toán quốc tế, nên việc áp dụng nguyên vẹn sẽ giúp các tổ chức cung cấp dịch vụ, nhà đầu tư nước ngoài dễ “giao tiếp”, làm ăn với nhau hơn,… </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Tuy nhiên, việc xem xét áp dụng IFRS vào các DN Việt Nam cần dựa vào điều kiện cụ thể của nước ta trong bối cảnh nền kinh tế thị trường chuyển đổi, đòi hỏi cần có lộ trình phù hợp trước khi tiến tới áp dụng hoàn toàn IFRS. Cụ thể, phần lớn các DN Việt Nam đang áp dụng CMKT Việt Nam (VAS) để lập BCTC theo nguyên tắc giá gốc, còn IFRS theo nguyên tắc giá thị trường (giá trị hợp lý). IFRS được xây dựng, để áp dụng cho các nền kinh tế phát triển, khi mà các yếu tố thị trường đã phát triển đồng bộ, có thị trường thuận lợi cho định giá các loại tài sản theo giá thị trường. Các yếu tố này chưa có được đầy đủ ở các quốc gia đang phát triển như Việt Nam, nên trong giai đoạn ban đầu mà áp dụng nguyên vẹn IFRS sẽ gặp không ít khó khăn với nước ta, nhất là nếu quá trình chuẩn bị các yếu tố cần thiết không được thúc đẩy quyết liệt, đồng bộ. </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Do vậy, Việt Nam nên chọn áp dụng IFRS từng phần sẽ phù hợp với điều kiện kinh tế, khả năng ngoại ngữ, trình độ của thị trường lao động và sự phát triển của thị trường chứng khoán Việt Nam. Với mô hình này, Việt Nam có khả năng thực hiện được song song 2 hệ thống chuẩn mực: IAS/IFRS và CMKT quốc gia. Đối với các công ty niêm yết, các công ty đại chúng, các công ty bảo hiểm, tổ chức tín dụng, tổng công ty Nhà nước cần quy định bắt buộc áp dụng IFRS trong việc lập và trình bày BCTC. Còn đối với các DN khác với các nghiệp vụ kinh tế tài chính đơn giản, tính so sánh của thông tin trên phạm vi quốc tế chưa cao, các yêu cầu về pháp lý, kinh tế, văn hóa, xã hội và trình độ ngoại ngữ còn hạn chế, sẽ lập BCTC theo VAS và các chế độ kế toán hiện hành.</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Việt Nam nên nghiên cứu, xem xét triển khai IFRS ngay sau thời điểm Luật Kế toán 2015 có hiệu lực từ ngày 1/1/2017. Để việc triển khai IFRS đảm bảo tính khả thi, cơ quan quản lý nên đưa ra hệ thống chính sách theo hướng ban đầu áp dụng đối với các DN quy mô lớn thường xuyên có quan hệ sản xuất, kinh doanh với các đối tác quốc tế, các DN có vốn đầu tư nước ngoài, các công ty cổ phần niêm yết trên sàn chứng khoán có trách nhiệm báo cáo đến các cổ đông. Các công ty này cũng bao gồm các ngân hàng, công ty bảo hiểm, các tổ chức tương hỗ và các tổ chức tương tự có nhận vốn từ công chúng. Khi những lợi ích của việc triển khai IFRS được kiểm chứng, đồng thời các yếu tố thuận lợi cho triển khai rộng rãi IFRS chín muồi, thì sẽ tiến tới áp dụng chuẩn mực này cho tất cả các DN trong nền kinh tế.</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rStyle w:val="Emphasis"/>
          <w:b/>
          <w:bCs/>
          <w:sz w:val="28"/>
          <w:szCs w:val="28"/>
        </w:rPr>
        <w:t xml:space="preserve">Thứ hai, xây dựng bộ CMKT áp dụng riêng cho các DN vừa và nhỏ </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Đối với các DNNVV không có trách nhiệm BCTC ra công chúng, các DN này có thể lập BCTC dựa theo Thông tư 133/2016/TT – BTC do Bộ Tài chính ban hành về chế độ kế toán áp dụng cho DNNVV.</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Đồng thời, Bộ Tài chính cần tiến hành xây dựng bộ CMKT áp dụng riêng cho các DN quy mô nhỏ và vừa. Nhóm DN này có số lượng các nghiệp vụ kinh tế tài chính phát sinh ít, bản chất nghiệp vụ đơn giản nên nếu áp dụng cùng bộ chuẩn mực BCTC quốc tế thì quá phức tạp và không phù hợp. Mặt khác, do điều kiện về năng lực của kế toán viên của nhóm DN này còn hạn chế nên khả năng vận dụng chuẩn mực BCTC quốc tế là hết sức khó khăn.</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rStyle w:val="Emphasis"/>
          <w:b/>
          <w:bCs/>
          <w:sz w:val="28"/>
          <w:szCs w:val="28"/>
        </w:rPr>
        <w:t>Thứ ba,</w:t>
      </w:r>
      <w:r w:rsidRPr="00FB7DA8">
        <w:rPr>
          <w:sz w:val="28"/>
          <w:szCs w:val="28"/>
        </w:rPr>
        <w:t xml:space="preserve"> </w:t>
      </w:r>
      <w:r w:rsidRPr="00FB7DA8">
        <w:rPr>
          <w:rStyle w:val="Emphasis"/>
          <w:b/>
          <w:bCs/>
          <w:sz w:val="28"/>
          <w:szCs w:val="28"/>
        </w:rPr>
        <w:t>nâng cao vai trò của các Hiệp Hội ngành nghề kế toán, kiểm toán</w:t>
      </w:r>
      <w:r w:rsidRPr="00FB7DA8">
        <w:rPr>
          <w:sz w:val="28"/>
          <w:szCs w:val="28"/>
        </w:rPr>
        <w:t>. </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Triển khai IFRS là vấn đề không đơn giản và rất quan trọng, nên Việt Nam cần có sự tư vấn, hỗ trợ của Hội CMKT quốc tế và chuyên gia của các tổ chức nghề nghiệp quốc tế trong quá trình triển khai áp dụng IFRS, thông qua nhiều hình thức như: Đào tạo, cung cấp tài liệu giảng dạy, hỗ trợ kỹ thuật,… Ngoài ra, với kinh nghiệm lâu năm trong việc tư vấn áp dụng IFRS trên toàn cầu, một số tổ chức nghề nghiệp quốc tế và các công ty kiểm toán sẽ hỗ trợ Bộ Tài chính mà trực tiếp thông qua Vụ Chế độ Kế toán và Kiểm toán, sẽ xây dựng lộ trình và triển khai áp dụng IFRS tại Việt Nam. Đồng thời, sẽ tư vấn, trợ giúp các DN có nhu cầu lập BCTC theo IFRS.</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Theo thông lệ quốc tế, việc ban hành các CMKT được chuyển giao cho các tổ chức, hội hành nghề kế toán, kiểm toán. Việc làm này sẽ có hiệu quả hơn, bởi đây là những người có kinh nghiệm thực tiễn và là người trực tiếp triển khai, vận dụng các CMKT vào cuộc sống. Trong khi đó, hiện nay việc ban hành CMKT Việt Nam do Bộ Tài chính thực hiện mà chưa có sự góp mặt của các Hội Nghề nghiệp kế toán, kiểm toán, các kiểm toán viên cũng như của các DN. Vì thế, trong thời gian tới, Việt Nam cần nâng cao vai trò của các hội nghề nghiệp kế toán, kiểm toán cũng như đóng góp ý kiến của các kế toán, kiểm toán viên trong việc vận dụng các chuẩn mực BCTC quốc tế đối với các công ty niêm yết, các công ty bảo hiểm, tổ chức tín dụng, ngân hàng,... và trong việc ban hành bộ CMKT quốc gia áp dụng riêng cho các DN còn lại.</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rStyle w:val="Emphasis"/>
          <w:b/>
          <w:bCs/>
          <w:sz w:val="28"/>
          <w:szCs w:val="28"/>
        </w:rPr>
        <w:t>Thứ tư,</w:t>
      </w:r>
      <w:r w:rsidRPr="00FB7DA8">
        <w:rPr>
          <w:sz w:val="28"/>
          <w:szCs w:val="28"/>
        </w:rPr>
        <w:t xml:space="preserve"> </w:t>
      </w:r>
      <w:r w:rsidRPr="00FB7DA8">
        <w:rPr>
          <w:rStyle w:val="Emphasis"/>
          <w:b/>
          <w:bCs/>
          <w:sz w:val="28"/>
          <w:szCs w:val="28"/>
        </w:rPr>
        <w:t>nâng cao chất lượng đào tạo kế toán</w:t>
      </w:r>
      <w:r w:rsidRPr="00FB7DA8">
        <w:rPr>
          <w:sz w:val="28"/>
          <w:szCs w:val="28"/>
        </w:rPr>
        <w:t xml:space="preserve">. </w:t>
      </w:r>
    </w:p>
    <w:p w:rsidR="002126EF" w:rsidRPr="00FB7DA8" w:rsidRDefault="002126EF" w:rsidP="00FB7DA8">
      <w:pPr>
        <w:pStyle w:val="NormalWeb"/>
        <w:spacing w:before="0" w:beforeAutospacing="0" w:after="0" w:afterAutospacing="0" w:line="264" w:lineRule="auto"/>
        <w:ind w:firstLine="720"/>
        <w:jc w:val="both"/>
        <w:rPr>
          <w:sz w:val="28"/>
          <w:szCs w:val="28"/>
        </w:rPr>
      </w:pPr>
      <w:r w:rsidRPr="00FB7DA8">
        <w:rPr>
          <w:sz w:val="28"/>
          <w:szCs w:val="28"/>
        </w:rPr>
        <w:t>Để có thể áp dụng IFRS thì yếu tố đầu tiên mà Việt Nam cần quan tâm, đặc biệt chính là nguồn nhân lực kế toán. Một trong những lý do Việt Nam không phù hợp với các mô hình hội tụ khác chính là hạn chế về năng lực của đội ngũ kế toán viên. Việc vận dụng IFRS yêu cầu người lao động kế toán phải có kiến thức tốt, trình độ tiếng Anh giỏi. Trong khi đó, thực trạng đào tạo nhân lực kế toán của chúng ta hiện nay nghiêng về mặt đào tạo theo “Chế độ kế toán”, trang bị kiến thức mang tính chất hình thức mà không phải hướng tiếp cận theo bản chất. Chương trình đào tạo kế toán còn quá ít việc đào tạo CMKT quốc tế, chỉ có một số trường đưa môn học này giảng dạy. Bên cạnh đó, khả năng ngoại ngữ của sinh viên Việt Nam chưa đáp ứng được yêu cầu của hội nhập quốc tế. Vì vậy, trong thời gian tới, để Việt Nam có nguồn lao động đáp ứng được yêu cầu vận dụng chuẩn mực BCTC quốc tế trong việc lập và trình bày BCTC, thì ngay từ bây giờ việc nâng cao chất lượng đào tạo hơn lúc nào hết cần được quan tâm.</w:t>
      </w:r>
    </w:p>
    <w:p w:rsidR="002126EF" w:rsidRPr="00FB7DA8" w:rsidRDefault="002126EF" w:rsidP="00FB7DA8">
      <w:pPr>
        <w:pStyle w:val="NormalWeb"/>
        <w:spacing w:before="0" w:beforeAutospacing="0" w:after="0" w:afterAutospacing="0" w:line="264" w:lineRule="auto"/>
        <w:jc w:val="both"/>
        <w:rPr>
          <w:sz w:val="28"/>
          <w:szCs w:val="28"/>
        </w:rPr>
      </w:pPr>
      <w:r w:rsidRPr="00FB7DA8">
        <w:rPr>
          <w:sz w:val="28"/>
          <w:szCs w:val="28"/>
        </w:rPr>
        <w:t>Như vậy, áp dụng IFRS là xu thế tất yếu của các DN Việt Nam trong quá trình toàn cầu hóa kinh tế thế giới. Việc nhìn nhận được những khó khăn, thách thức sẽ giúp các cơ quan Nhà nước và DN cùng tìm ra giải pháp hiệu quả, để sớm đưa IFRS vào áp dụng tại Việt Nam. Hy vọng với sự chung tay của các thể chế tài chính, cơ quan, ban ngành, như Bộ Tài chính, các Hiệp hội nghề nghiệp kế toán kiểm toán, các trường Đại học, cùng với sự cam kết hỗ trợ, tư vấn của IASB và tổ chức nghề nghiệp Quốc tế có kinh nghiệm và uy tín chuyên môn cao, IFRS sẽ sớm được áp dụng rộng rãi trong các DN Việt Nam.</w:t>
      </w:r>
    </w:p>
    <w:p w:rsidR="002126EF" w:rsidRPr="00FB7DA8" w:rsidRDefault="002126EF" w:rsidP="00FB7DA8">
      <w:pPr>
        <w:pStyle w:val="NormalWeb"/>
        <w:spacing w:before="0" w:beforeAutospacing="0" w:after="0" w:afterAutospacing="0" w:line="264" w:lineRule="auto"/>
        <w:ind w:firstLine="720"/>
        <w:jc w:val="both"/>
        <w:rPr>
          <w:color w:val="000000"/>
          <w:sz w:val="28"/>
          <w:szCs w:val="28"/>
        </w:rPr>
      </w:pPr>
    </w:p>
    <w:p w:rsidR="002126EF" w:rsidRPr="00FB7DA8" w:rsidRDefault="002126EF" w:rsidP="00FB7DA8">
      <w:pPr>
        <w:pStyle w:val="NormalWeb"/>
        <w:spacing w:before="0" w:beforeAutospacing="0" w:after="0" w:afterAutospacing="0" w:line="264" w:lineRule="auto"/>
        <w:jc w:val="both"/>
        <w:rPr>
          <w:color w:val="000000"/>
          <w:sz w:val="28"/>
          <w:szCs w:val="28"/>
        </w:rPr>
      </w:pPr>
      <w:r w:rsidRPr="00FB7DA8">
        <w:rPr>
          <w:color w:val="000000"/>
          <w:sz w:val="28"/>
          <w:szCs w:val="28"/>
        </w:rPr>
        <w:tab/>
      </w:r>
    </w:p>
    <w:p w:rsidR="002126EF" w:rsidRPr="00FB7DA8" w:rsidRDefault="002126EF" w:rsidP="00FB7DA8">
      <w:pPr>
        <w:spacing w:line="264" w:lineRule="auto"/>
        <w:jc w:val="center"/>
        <w:rPr>
          <w:color w:val="000000"/>
          <w:sz w:val="28"/>
          <w:szCs w:val="28"/>
        </w:rPr>
      </w:pPr>
    </w:p>
    <w:p w:rsidR="002126EF" w:rsidRPr="00FB7DA8" w:rsidRDefault="002126EF" w:rsidP="00FB7DA8">
      <w:pPr>
        <w:spacing w:line="264" w:lineRule="auto"/>
        <w:jc w:val="center"/>
        <w:rPr>
          <w:color w:val="000000"/>
          <w:sz w:val="28"/>
          <w:szCs w:val="28"/>
        </w:rPr>
      </w:pPr>
    </w:p>
    <w:p w:rsidR="002126EF" w:rsidRPr="00FB7DA8" w:rsidRDefault="002126EF" w:rsidP="00FB7DA8">
      <w:pPr>
        <w:spacing w:line="264" w:lineRule="auto"/>
        <w:jc w:val="center"/>
        <w:rPr>
          <w:color w:val="000000"/>
          <w:sz w:val="28"/>
          <w:szCs w:val="28"/>
        </w:rPr>
      </w:pPr>
    </w:p>
    <w:p w:rsidR="002126EF" w:rsidRPr="00FB7DA8" w:rsidRDefault="002126EF" w:rsidP="00FB7DA8">
      <w:pPr>
        <w:spacing w:line="264" w:lineRule="auto"/>
        <w:jc w:val="center"/>
        <w:rPr>
          <w:b/>
          <w:bCs/>
          <w:color w:val="000000"/>
          <w:sz w:val="28"/>
          <w:szCs w:val="28"/>
        </w:rPr>
      </w:pPr>
      <w:r w:rsidRPr="00FB7DA8">
        <w:rPr>
          <w:b/>
          <w:bCs/>
          <w:color w:val="000000"/>
          <w:sz w:val="28"/>
          <w:szCs w:val="28"/>
        </w:rPr>
        <w:t>KẾT LUẬN</w:t>
      </w:r>
    </w:p>
    <w:p w:rsidR="002126EF" w:rsidRPr="00FB7DA8" w:rsidRDefault="002126EF" w:rsidP="00FB7DA8">
      <w:pPr>
        <w:spacing w:line="264" w:lineRule="auto"/>
        <w:ind w:firstLine="644"/>
        <w:jc w:val="both"/>
        <w:rPr>
          <w:color w:val="000000"/>
          <w:sz w:val="28"/>
          <w:szCs w:val="28"/>
        </w:rPr>
      </w:pPr>
      <w:r w:rsidRPr="00FB7DA8">
        <w:rPr>
          <w:color w:val="000000"/>
          <w:sz w:val="28"/>
          <w:szCs w:val="28"/>
          <w:shd w:val="clear" w:color="auto" w:fill="FFFFFF"/>
        </w:rPr>
        <w:t>Có thể thấy rằng, VAS và IAS/IFRS vẫn còn tồn tại một khoảng cách đáng kể ảnh hưởng đến quá trình hội nhập quốc tế của Việt Nam. Việc áp dụng các IAS thực sự là một thách thức về mức độ phát triển của thị trường, trình độ, năng lực của kiểm toán viên, kế toán viên và cả các nhà đầu tư trên thị trường Việt Nam. Tuy nhiên, việc kế toán theo VAS xích lại gần hơn với IAS về TSCĐ thì sẽ cần một khoảng thời gian dài nữa mới có thể thực hiện được và đòi hỏi nỗ lực từ các doanh nghiệp và đặc biệt là những người làm công tác tài chính kế toán.</w:t>
      </w:r>
    </w:p>
    <w:p w:rsidR="002126EF" w:rsidRPr="00FB7DA8" w:rsidRDefault="002126EF" w:rsidP="00FB7DA8">
      <w:pPr>
        <w:pStyle w:val="Heading1"/>
        <w:spacing w:before="0" w:after="0" w:line="264" w:lineRule="auto"/>
        <w:jc w:val="center"/>
        <w:rPr>
          <w:rFonts w:ascii="Times New Roman" w:hAnsi="Times New Roman" w:cs="Times New Roman"/>
          <w:color w:val="000000"/>
          <w:sz w:val="28"/>
          <w:szCs w:val="28"/>
        </w:rPr>
      </w:pPr>
    </w:p>
    <w:p w:rsidR="002126EF" w:rsidRPr="00FB7DA8" w:rsidRDefault="002126EF" w:rsidP="00FB7DA8">
      <w:pPr>
        <w:pStyle w:val="Heading1"/>
        <w:spacing w:before="0" w:after="0" w:line="264" w:lineRule="auto"/>
        <w:jc w:val="center"/>
        <w:rPr>
          <w:rFonts w:ascii="Times New Roman" w:hAnsi="Times New Roman" w:cs="Times New Roman"/>
          <w:color w:val="000000"/>
          <w:sz w:val="28"/>
          <w:szCs w:val="28"/>
        </w:rPr>
      </w:pPr>
    </w:p>
    <w:p w:rsidR="002126EF" w:rsidRPr="00FB7DA8" w:rsidRDefault="002126EF" w:rsidP="00FB7DA8">
      <w:pPr>
        <w:pStyle w:val="Heading1"/>
        <w:spacing w:before="0" w:after="0" w:line="264" w:lineRule="auto"/>
        <w:jc w:val="center"/>
        <w:rPr>
          <w:rFonts w:ascii="Times New Roman" w:hAnsi="Times New Roman" w:cs="Times New Roman"/>
          <w:color w:val="000000"/>
          <w:sz w:val="28"/>
          <w:szCs w:val="28"/>
        </w:rPr>
      </w:pPr>
      <w:r w:rsidRPr="00FB7DA8">
        <w:rPr>
          <w:rFonts w:ascii="Times New Roman" w:hAnsi="Times New Roman" w:cs="Times New Roman"/>
          <w:color w:val="000000"/>
          <w:sz w:val="28"/>
          <w:szCs w:val="28"/>
        </w:rPr>
        <w:t>DANH MỤC TÀI LIỆU THAM KHẢO</w:t>
      </w:r>
    </w:p>
    <w:p w:rsidR="002126EF" w:rsidRPr="00FB7DA8" w:rsidRDefault="002126EF" w:rsidP="00FB7DA8">
      <w:pPr>
        <w:spacing w:line="264" w:lineRule="auto"/>
        <w:rPr>
          <w:color w:val="000000"/>
          <w:sz w:val="28"/>
          <w:szCs w:val="28"/>
        </w:rPr>
      </w:pPr>
    </w:p>
    <w:p w:rsidR="002126EF" w:rsidRPr="00FB7DA8" w:rsidRDefault="002126EF" w:rsidP="00FB7DA8">
      <w:pPr>
        <w:spacing w:line="264" w:lineRule="auto"/>
        <w:ind w:firstLine="720"/>
        <w:jc w:val="both"/>
        <w:rPr>
          <w:b/>
          <w:bCs/>
          <w:color w:val="000000"/>
          <w:sz w:val="28"/>
          <w:szCs w:val="28"/>
        </w:rPr>
      </w:pPr>
      <w:r w:rsidRPr="00FB7DA8">
        <w:rPr>
          <w:b/>
          <w:bCs/>
          <w:color w:val="000000"/>
          <w:sz w:val="28"/>
          <w:szCs w:val="28"/>
        </w:rPr>
        <w:t>I. Tài liệu tham khảo bằng tiếng Việt:</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1. Bộ Tài Chính, Thông tư số 203/2009/TT-BTC hướng dẫn chế độ quản lý, sử dụng và trích khấu hao tài sản cố định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2. Bộ Tài Chính, Chuẩn mực kế toán số 01, </w:t>
      </w:r>
      <w:r w:rsidRPr="00FB7DA8">
        <w:rPr>
          <w:i/>
          <w:iCs/>
          <w:color w:val="000000"/>
          <w:sz w:val="28"/>
          <w:szCs w:val="28"/>
        </w:rPr>
        <w:t>Chuẩn mực chung</w:t>
      </w:r>
      <w:r w:rsidRPr="00FB7DA8">
        <w:rPr>
          <w:color w:val="000000"/>
          <w:sz w:val="28"/>
          <w:szCs w:val="28"/>
        </w:rPr>
        <w:t>, ban hành theo quyết định số 165/2001/QĐ-BTC ngày 31/12/2001 của Bộ Tài Chính.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3. Bộ Tài Chính, chuẩn mực kế toán Việt Nam số 4, Tài sản cố định vô hình, ban hành theo quyết định số 149/2001/QĐ-BTC ngày 31/12/2001 của Bộ Tài Chính</w:t>
      </w:r>
    </w:p>
    <w:p w:rsidR="002126EF" w:rsidRPr="00FB7DA8" w:rsidRDefault="002126EF" w:rsidP="00FB7DA8">
      <w:pPr>
        <w:pStyle w:val="FootnoteText"/>
        <w:spacing w:line="264" w:lineRule="auto"/>
        <w:ind w:firstLine="720"/>
        <w:jc w:val="both"/>
        <w:rPr>
          <w:color w:val="000000"/>
          <w:sz w:val="28"/>
          <w:szCs w:val="28"/>
        </w:rPr>
      </w:pPr>
      <w:r w:rsidRPr="00FB7DA8">
        <w:rPr>
          <w:color w:val="000000"/>
          <w:sz w:val="28"/>
          <w:szCs w:val="28"/>
        </w:rPr>
        <w:t xml:space="preserve">4. Bộ Tài Chính, Chuẩn mực kế toán Việt Nam số 3, </w:t>
      </w:r>
      <w:r w:rsidRPr="00FB7DA8">
        <w:rPr>
          <w:i/>
          <w:iCs/>
          <w:color w:val="000000"/>
          <w:sz w:val="28"/>
          <w:szCs w:val="28"/>
        </w:rPr>
        <w:t>Tài sản cố định hữu hình</w:t>
      </w:r>
      <w:r w:rsidRPr="00FB7DA8">
        <w:rPr>
          <w:color w:val="000000"/>
          <w:sz w:val="28"/>
          <w:szCs w:val="28"/>
        </w:rPr>
        <w:t>,  ban hành theo quyết định số 149/2001/QĐ-BTC  ngày 31/12/2001 của Bộ Tài Chính.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5. Bộ Tài Chính, Chuẩn mực kế toán Việt Nam số 6, Thuê tài sản, ban hành theo quyết định số 165/2001/QĐ-BTC ngày 31/12/2001 của Bộ Tài Chính.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6. Bộ Tài Chính, 2009, Chế độ kế toán doanh nghiệp, Nhà xuất bản Thống Kê, quyển 1 và 2. </w:t>
      </w:r>
    </w:p>
    <w:p w:rsidR="002126EF" w:rsidRPr="00FB7DA8" w:rsidRDefault="002126EF" w:rsidP="00FB7DA8">
      <w:pPr>
        <w:pStyle w:val="FootnoteText"/>
        <w:spacing w:line="264" w:lineRule="auto"/>
        <w:ind w:firstLine="720"/>
        <w:jc w:val="both"/>
        <w:rPr>
          <w:color w:val="000000"/>
          <w:sz w:val="28"/>
          <w:szCs w:val="28"/>
        </w:rPr>
      </w:pPr>
      <w:r w:rsidRPr="00FB7DA8">
        <w:rPr>
          <w:color w:val="000000"/>
          <w:sz w:val="28"/>
          <w:szCs w:val="28"/>
        </w:rPr>
        <w:t>7. PGS.TS Đoàn Xuõn Tiờn, 24/10/2008, Hệ thống chuẩn mực kế toán Việt Nam: Những vấn đề cần tiếp tục hoàn thiện, Tạp chí kế toán.</w:t>
      </w:r>
    </w:p>
    <w:p w:rsidR="002126EF" w:rsidRPr="00FB7DA8" w:rsidRDefault="002126EF" w:rsidP="00FB7DA8">
      <w:pPr>
        <w:pStyle w:val="FootnoteText"/>
        <w:spacing w:line="264" w:lineRule="auto"/>
        <w:ind w:firstLine="720"/>
        <w:jc w:val="both"/>
        <w:rPr>
          <w:color w:val="000000"/>
          <w:sz w:val="28"/>
          <w:szCs w:val="28"/>
        </w:rPr>
      </w:pPr>
      <w:r w:rsidRPr="00FB7DA8">
        <w:rPr>
          <w:color w:val="000000"/>
          <w:sz w:val="28"/>
          <w:szCs w:val="28"/>
        </w:rPr>
        <w:t>8. Luật Kế toán năm 2015</w:t>
      </w:r>
    </w:p>
    <w:p w:rsidR="002126EF" w:rsidRPr="00FB7DA8" w:rsidRDefault="002126EF" w:rsidP="00FB7DA8">
      <w:pPr>
        <w:pStyle w:val="FootnoteText"/>
        <w:spacing w:line="264" w:lineRule="auto"/>
        <w:ind w:firstLine="720"/>
        <w:jc w:val="both"/>
        <w:rPr>
          <w:b/>
          <w:bCs/>
          <w:color w:val="000000"/>
          <w:sz w:val="28"/>
          <w:szCs w:val="28"/>
        </w:rPr>
      </w:pPr>
      <w:r w:rsidRPr="00FB7DA8">
        <w:rPr>
          <w:b/>
          <w:bCs/>
          <w:color w:val="000000"/>
          <w:sz w:val="28"/>
          <w:szCs w:val="28"/>
        </w:rPr>
        <w:t>II. Tài liệu tham khảo bằng tiếng Anh:</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 xml:space="preserve">1. Barry J. Epstein và Eva K. Jermakowicz, Wiley IFRS 2009 : Interpretation and Application of  International Accounting and Financial Reporting Standards, </w:t>
      </w:r>
      <w:hyperlink r:id="rId10" w:tgtFrame="_parent" w:history="1">
        <w:r w:rsidRPr="00FB7DA8">
          <w:rPr>
            <w:color w:val="000000"/>
            <w:sz w:val="28"/>
            <w:szCs w:val="28"/>
          </w:rPr>
          <w:t>John Wiley &amp; Sons</w:t>
        </w:r>
      </w:hyperlink>
      <w:r w:rsidRPr="00FB7DA8">
        <w:rPr>
          <w:color w:val="000000"/>
          <w:sz w:val="28"/>
          <w:szCs w:val="28"/>
        </w:rPr>
        <w:t xml:space="preserve"> â 2009.</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2. IASC và IASB, framework for the preparation and presentation of financial statements) được phê duyệt bởi IASC vào tháng 4/1989 và được công bố vào tháng 7/1989, sau đó được IASB sử dụng chính thức vào tháng 4/2001.</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3. IASB, Chuẩn mực kế toán quốc tế số 16, Bất động sản, nhà xưởng và dụng cụ (property, plant and equipment),  phiên bản  đã bao gồm những sửa đổi theo các chuẩn mực báo cáo tài chính quốc tế (IFRS) được ban hành đến  thời điểm 31/12/2008.</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4. IASB, IAS 17, Thuê tài sản, phiên bản  đã bao gồm những sửa đổi theo các chuẩn mực báo cáo tài chính quốc tế (IFRS) được ban hành đến  thời điểm 31/12/2008.</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5. IASB, Chuẩn mực kế toán quốc tế số 36, Sự giảm giá trị tài sản (impairment of assets), Phiên bản được sửa đổi vào năm 2004, đã bao gồm những sửa đổi theo các chuẩn mực báo cáo tài chính quốc tế (IFRS) được ban hành đến  thời điểm 31/12/2008.</w:t>
      </w:r>
    </w:p>
    <w:p w:rsidR="002126EF" w:rsidRPr="00FB7DA8" w:rsidRDefault="002126EF" w:rsidP="00FB7DA8">
      <w:pPr>
        <w:spacing w:line="264" w:lineRule="auto"/>
        <w:ind w:firstLine="720"/>
        <w:jc w:val="both"/>
        <w:rPr>
          <w:color w:val="000000"/>
          <w:sz w:val="28"/>
          <w:szCs w:val="28"/>
        </w:rPr>
      </w:pPr>
      <w:r w:rsidRPr="00FB7DA8">
        <w:rPr>
          <w:color w:val="000000"/>
          <w:sz w:val="28"/>
          <w:szCs w:val="28"/>
        </w:rPr>
        <w:t>6. IASB, Chuẩn mực kế toán quốc tế số 38, Tài sản cố định vô hình (Intangible assets), phiên bản  đã bao gồm những sửa đổi theo các chuẩn mực báo cáo tài chính quốc tế (IFRS) được ban hành đến  thời điểm 31/12/2008.</w:t>
      </w:r>
    </w:p>
    <w:p w:rsidR="002126EF" w:rsidRPr="00FB7DA8" w:rsidRDefault="002126EF" w:rsidP="00FB7DA8">
      <w:pPr>
        <w:spacing w:line="264" w:lineRule="auto"/>
        <w:ind w:firstLine="720"/>
        <w:jc w:val="both"/>
        <w:rPr>
          <w:color w:val="000000"/>
          <w:sz w:val="28"/>
          <w:szCs w:val="28"/>
        </w:rPr>
      </w:pPr>
    </w:p>
    <w:sectPr w:rsidR="002126EF" w:rsidRPr="00FB7DA8" w:rsidSect="00E5731F">
      <w:pgSz w:w="12240" w:h="15840"/>
      <w:pgMar w:top="1134" w:right="1134" w:bottom="1134"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6EF" w:rsidRDefault="002126EF" w:rsidP="00E5731F">
      <w:r>
        <w:separator/>
      </w:r>
    </w:p>
  </w:endnote>
  <w:endnote w:type="continuationSeparator" w:id="0">
    <w:p w:rsidR="002126EF" w:rsidRDefault="002126EF" w:rsidP="00E573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6EF" w:rsidRDefault="002126EF" w:rsidP="00E5731F">
      <w:r>
        <w:separator/>
      </w:r>
    </w:p>
  </w:footnote>
  <w:footnote w:type="continuationSeparator" w:id="0">
    <w:p w:rsidR="002126EF" w:rsidRDefault="002126EF" w:rsidP="00E573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520634"/>
    <w:multiLevelType w:val="hybridMultilevel"/>
    <w:tmpl w:val="67E06578"/>
    <w:lvl w:ilvl="0" w:tplc="FFFFFFFF">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nsid w:val="483F5D41"/>
    <w:multiLevelType w:val="hybridMultilevel"/>
    <w:tmpl w:val="A53C96E2"/>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71C2"/>
    <w:rsid w:val="000917FD"/>
    <w:rsid w:val="000C71C2"/>
    <w:rsid w:val="002126EF"/>
    <w:rsid w:val="00272DC1"/>
    <w:rsid w:val="00292B72"/>
    <w:rsid w:val="002A1CD8"/>
    <w:rsid w:val="002C344A"/>
    <w:rsid w:val="003478F9"/>
    <w:rsid w:val="00371EBC"/>
    <w:rsid w:val="00382BAF"/>
    <w:rsid w:val="004A4190"/>
    <w:rsid w:val="00516E87"/>
    <w:rsid w:val="00562036"/>
    <w:rsid w:val="00576AC3"/>
    <w:rsid w:val="0059186C"/>
    <w:rsid w:val="00706378"/>
    <w:rsid w:val="00707B02"/>
    <w:rsid w:val="007146A1"/>
    <w:rsid w:val="00752F73"/>
    <w:rsid w:val="008B57BE"/>
    <w:rsid w:val="008F011B"/>
    <w:rsid w:val="009B5C04"/>
    <w:rsid w:val="009F60EF"/>
    <w:rsid w:val="00A947EE"/>
    <w:rsid w:val="00B758F2"/>
    <w:rsid w:val="00CF14FC"/>
    <w:rsid w:val="00D74622"/>
    <w:rsid w:val="00DB25D0"/>
    <w:rsid w:val="00DE0F5B"/>
    <w:rsid w:val="00E5731F"/>
    <w:rsid w:val="00FB7DA8"/>
    <w:rsid w:val="00FD01C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1C2"/>
    <w:rPr>
      <w:rFonts w:eastAsia="Times New Roman"/>
      <w:sz w:val="24"/>
      <w:szCs w:val="24"/>
    </w:rPr>
  </w:style>
  <w:style w:type="paragraph" w:styleId="Heading1">
    <w:name w:val="heading 1"/>
    <w:basedOn w:val="Normal"/>
    <w:next w:val="Normal"/>
    <w:link w:val="Heading1Char"/>
    <w:uiPriority w:val="99"/>
    <w:qFormat/>
    <w:rsid w:val="00E573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5731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uiPriority w:val="99"/>
    <w:qFormat/>
    <w:rsid w:val="00E5731F"/>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731F"/>
    <w:rPr>
      <w:rFonts w:ascii="Arial" w:hAnsi="Arial" w:cs="Arial"/>
      <w:b/>
      <w:bCs/>
      <w:kern w:val="32"/>
      <w:sz w:val="32"/>
      <w:szCs w:val="32"/>
    </w:rPr>
  </w:style>
  <w:style w:type="character" w:customStyle="1" w:styleId="Heading2Char">
    <w:name w:val="Heading 2 Char"/>
    <w:basedOn w:val="DefaultParagraphFont"/>
    <w:link w:val="Heading2"/>
    <w:uiPriority w:val="99"/>
    <w:locked/>
    <w:rsid w:val="00E5731F"/>
    <w:rPr>
      <w:rFonts w:ascii="Arial" w:hAnsi="Arial" w:cs="Arial"/>
      <w:b/>
      <w:bCs/>
      <w:i/>
      <w:iCs/>
      <w:sz w:val="28"/>
      <w:szCs w:val="28"/>
    </w:rPr>
  </w:style>
  <w:style w:type="character" w:customStyle="1" w:styleId="Heading3Char">
    <w:name w:val="Heading 3 Char"/>
    <w:basedOn w:val="DefaultParagraphFont"/>
    <w:link w:val="Heading3"/>
    <w:uiPriority w:val="99"/>
    <w:semiHidden/>
    <w:locked/>
    <w:rsid w:val="00E5731F"/>
    <w:rPr>
      <w:rFonts w:ascii="Cambria" w:hAnsi="Cambria" w:cs="Cambria"/>
      <w:b/>
      <w:bCs/>
      <w:color w:val="auto"/>
      <w:sz w:val="24"/>
      <w:szCs w:val="24"/>
    </w:rPr>
  </w:style>
  <w:style w:type="paragraph" w:styleId="ListParagraph">
    <w:name w:val="List Paragraph"/>
    <w:basedOn w:val="Normal"/>
    <w:uiPriority w:val="99"/>
    <w:qFormat/>
    <w:rsid w:val="00576AC3"/>
    <w:pPr>
      <w:ind w:left="720"/>
    </w:pPr>
  </w:style>
  <w:style w:type="character" w:customStyle="1" w:styleId="Heading3Char1">
    <w:name w:val="Heading 3 Char1"/>
    <w:basedOn w:val="DefaultParagraphFont"/>
    <w:link w:val="Heading3"/>
    <w:uiPriority w:val="99"/>
    <w:locked/>
    <w:rsid w:val="00E5731F"/>
    <w:rPr>
      <w:rFonts w:ascii="Arial" w:hAnsi="Arial" w:cs="Arial"/>
      <w:b/>
      <w:bCs/>
      <w:sz w:val="26"/>
      <w:szCs w:val="26"/>
    </w:rPr>
  </w:style>
  <w:style w:type="paragraph" w:styleId="FootnoteText">
    <w:name w:val="footnote text"/>
    <w:basedOn w:val="Normal"/>
    <w:link w:val="FootnoteTextChar1"/>
    <w:uiPriority w:val="99"/>
    <w:semiHidden/>
    <w:rsid w:val="00E5731F"/>
    <w:rPr>
      <w:sz w:val="20"/>
      <w:szCs w:val="20"/>
    </w:rPr>
  </w:style>
  <w:style w:type="character" w:customStyle="1" w:styleId="FootnoteTextChar">
    <w:name w:val="Footnote Text Char"/>
    <w:basedOn w:val="DefaultParagraphFont"/>
    <w:link w:val="FootnoteText"/>
    <w:uiPriority w:val="99"/>
    <w:semiHidden/>
    <w:locked/>
    <w:rsid w:val="00E5731F"/>
    <w:rPr>
      <w:rFonts w:eastAsia="Times New Roman"/>
      <w:sz w:val="20"/>
      <w:szCs w:val="20"/>
    </w:rPr>
  </w:style>
  <w:style w:type="character" w:customStyle="1" w:styleId="FootnoteTextChar1">
    <w:name w:val="Footnote Text Char1"/>
    <w:basedOn w:val="DefaultParagraphFont"/>
    <w:link w:val="FootnoteText"/>
    <w:uiPriority w:val="99"/>
    <w:semiHidden/>
    <w:locked/>
    <w:rsid w:val="00E5731F"/>
    <w:rPr>
      <w:rFonts w:eastAsia="Times New Roman"/>
      <w:sz w:val="20"/>
      <w:szCs w:val="20"/>
    </w:rPr>
  </w:style>
  <w:style w:type="character" w:styleId="FootnoteReference">
    <w:name w:val="footnote reference"/>
    <w:basedOn w:val="DefaultParagraphFont"/>
    <w:uiPriority w:val="99"/>
    <w:semiHidden/>
    <w:rsid w:val="00E5731F"/>
    <w:rPr>
      <w:vertAlign w:val="superscript"/>
    </w:rPr>
  </w:style>
  <w:style w:type="character" w:styleId="Hyperlink">
    <w:name w:val="Hyperlink"/>
    <w:basedOn w:val="DefaultParagraphFont"/>
    <w:uiPriority w:val="99"/>
    <w:rsid w:val="00E5731F"/>
    <w:rPr>
      <w:color w:val="0000FF"/>
      <w:u w:val="single"/>
    </w:rPr>
  </w:style>
  <w:style w:type="character" w:customStyle="1" w:styleId="b24-bookcwdate">
    <w:name w:val="b24-bookcwdate"/>
    <w:basedOn w:val="DefaultParagraphFont"/>
    <w:uiPriority w:val="99"/>
    <w:rsid w:val="00E5731F"/>
  </w:style>
  <w:style w:type="paragraph" w:styleId="BalloonText">
    <w:name w:val="Balloon Text"/>
    <w:basedOn w:val="Normal"/>
    <w:link w:val="BalloonTextChar"/>
    <w:uiPriority w:val="99"/>
    <w:semiHidden/>
    <w:rsid w:val="00371EB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1EBC"/>
    <w:rPr>
      <w:rFonts w:ascii="Tahoma" w:hAnsi="Tahoma" w:cs="Tahoma"/>
      <w:sz w:val="16"/>
      <w:szCs w:val="16"/>
    </w:rPr>
  </w:style>
  <w:style w:type="paragraph" w:styleId="NormalWeb">
    <w:name w:val="Normal (Web)"/>
    <w:basedOn w:val="Normal"/>
    <w:uiPriority w:val="99"/>
    <w:rsid w:val="004A4190"/>
    <w:pPr>
      <w:spacing w:before="100" w:beforeAutospacing="1" w:after="100" w:afterAutospacing="1"/>
    </w:pPr>
  </w:style>
  <w:style w:type="character" w:styleId="Strong">
    <w:name w:val="Strong"/>
    <w:basedOn w:val="DefaultParagraphFont"/>
    <w:uiPriority w:val="99"/>
    <w:qFormat/>
    <w:rsid w:val="004A4190"/>
    <w:rPr>
      <w:b/>
      <w:bCs/>
    </w:rPr>
  </w:style>
  <w:style w:type="character" w:customStyle="1" w:styleId="apple-converted-space">
    <w:name w:val="apple-converted-space"/>
    <w:basedOn w:val="DefaultParagraphFont"/>
    <w:uiPriority w:val="99"/>
    <w:rsid w:val="004A4190"/>
  </w:style>
  <w:style w:type="character" w:styleId="Emphasis">
    <w:name w:val="Emphasis"/>
    <w:basedOn w:val="DefaultParagraphFont"/>
    <w:uiPriority w:val="99"/>
    <w:qFormat/>
    <w:rsid w:val="00707B02"/>
    <w:rPr>
      <w:i/>
      <w:iCs/>
    </w:rPr>
  </w:style>
</w:styles>
</file>

<file path=word/webSettings.xml><?xml version="1.0" encoding="utf-8"?>
<w:webSettings xmlns:r="http://schemas.openxmlformats.org/officeDocument/2006/relationships" xmlns:w="http://schemas.openxmlformats.org/wordprocessingml/2006/main">
  <w:divs>
    <w:div w:id="480736332">
      <w:marLeft w:val="0"/>
      <w:marRight w:val="0"/>
      <w:marTop w:val="0"/>
      <w:marBottom w:val="0"/>
      <w:divBdr>
        <w:top w:val="none" w:sz="0" w:space="0" w:color="auto"/>
        <w:left w:val="none" w:sz="0" w:space="0" w:color="auto"/>
        <w:bottom w:val="none" w:sz="0" w:space="0" w:color="auto"/>
        <w:right w:val="none" w:sz="0" w:space="0" w:color="auto"/>
      </w:divBdr>
    </w:div>
    <w:div w:id="480736333">
      <w:marLeft w:val="0"/>
      <w:marRight w:val="0"/>
      <w:marTop w:val="0"/>
      <w:marBottom w:val="0"/>
      <w:divBdr>
        <w:top w:val="none" w:sz="0" w:space="0" w:color="auto"/>
        <w:left w:val="none" w:sz="0" w:space="0" w:color="auto"/>
        <w:bottom w:val="none" w:sz="0" w:space="0" w:color="auto"/>
        <w:right w:val="none" w:sz="0" w:space="0" w:color="auto"/>
      </w:divBdr>
      <w:divsChild>
        <w:div w:id="480736331">
          <w:marLeft w:val="0"/>
          <w:marRight w:val="0"/>
          <w:marTop w:val="0"/>
          <w:marBottom w:val="120"/>
          <w:divBdr>
            <w:top w:val="none" w:sz="0" w:space="0" w:color="auto"/>
            <w:left w:val="none" w:sz="0" w:space="0" w:color="auto"/>
            <w:bottom w:val="none" w:sz="0" w:space="0" w:color="auto"/>
            <w:right w:val="none" w:sz="0" w:space="0" w:color="auto"/>
          </w:divBdr>
        </w:div>
        <w:div w:id="480736335">
          <w:marLeft w:val="0"/>
          <w:marRight w:val="0"/>
          <w:marTop w:val="0"/>
          <w:marBottom w:val="120"/>
          <w:divBdr>
            <w:top w:val="none" w:sz="0" w:space="0" w:color="auto"/>
            <w:left w:val="none" w:sz="0" w:space="0" w:color="auto"/>
            <w:bottom w:val="none" w:sz="0" w:space="0" w:color="auto"/>
            <w:right w:val="none" w:sz="0" w:space="0" w:color="auto"/>
          </w:divBdr>
        </w:div>
        <w:div w:id="480736340">
          <w:marLeft w:val="0"/>
          <w:marRight w:val="0"/>
          <w:marTop w:val="0"/>
          <w:marBottom w:val="120"/>
          <w:divBdr>
            <w:top w:val="none" w:sz="0" w:space="0" w:color="auto"/>
            <w:left w:val="none" w:sz="0" w:space="0" w:color="auto"/>
            <w:bottom w:val="none" w:sz="0" w:space="0" w:color="auto"/>
            <w:right w:val="none" w:sz="0" w:space="0" w:color="auto"/>
          </w:divBdr>
        </w:div>
      </w:divsChild>
    </w:div>
    <w:div w:id="480736336">
      <w:marLeft w:val="0"/>
      <w:marRight w:val="0"/>
      <w:marTop w:val="0"/>
      <w:marBottom w:val="0"/>
      <w:divBdr>
        <w:top w:val="none" w:sz="0" w:space="0" w:color="auto"/>
        <w:left w:val="none" w:sz="0" w:space="0" w:color="auto"/>
        <w:bottom w:val="none" w:sz="0" w:space="0" w:color="auto"/>
        <w:right w:val="none" w:sz="0" w:space="0" w:color="auto"/>
      </w:divBdr>
      <w:divsChild>
        <w:div w:id="480736337">
          <w:marLeft w:val="0"/>
          <w:marRight w:val="0"/>
          <w:marTop w:val="0"/>
          <w:marBottom w:val="0"/>
          <w:divBdr>
            <w:top w:val="none" w:sz="0" w:space="0" w:color="auto"/>
            <w:left w:val="none" w:sz="0" w:space="0" w:color="auto"/>
            <w:bottom w:val="none" w:sz="0" w:space="0" w:color="auto"/>
            <w:right w:val="none" w:sz="0" w:space="0" w:color="auto"/>
          </w:divBdr>
        </w:div>
        <w:div w:id="480736344">
          <w:marLeft w:val="0"/>
          <w:marRight w:val="0"/>
          <w:marTop w:val="0"/>
          <w:marBottom w:val="0"/>
          <w:divBdr>
            <w:top w:val="none" w:sz="0" w:space="0" w:color="auto"/>
            <w:left w:val="none" w:sz="0" w:space="0" w:color="auto"/>
            <w:bottom w:val="none" w:sz="0" w:space="0" w:color="auto"/>
            <w:right w:val="none" w:sz="0" w:space="0" w:color="auto"/>
          </w:divBdr>
          <w:divsChild>
            <w:div w:id="480736334">
              <w:marLeft w:val="0"/>
              <w:marRight w:val="0"/>
              <w:marTop w:val="0"/>
              <w:marBottom w:val="0"/>
              <w:divBdr>
                <w:top w:val="none" w:sz="0" w:space="0" w:color="auto"/>
                <w:left w:val="none" w:sz="0" w:space="0" w:color="auto"/>
                <w:bottom w:val="none" w:sz="0" w:space="0" w:color="auto"/>
                <w:right w:val="none" w:sz="0" w:space="0" w:color="auto"/>
              </w:divBdr>
            </w:div>
            <w:div w:id="48073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36338">
      <w:marLeft w:val="0"/>
      <w:marRight w:val="0"/>
      <w:marTop w:val="0"/>
      <w:marBottom w:val="0"/>
      <w:divBdr>
        <w:top w:val="none" w:sz="0" w:space="0" w:color="auto"/>
        <w:left w:val="none" w:sz="0" w:space="0" w:color="auto"/>
        <w:bottom w:val="none" w:sz="0" w:space="0" w:color="auto"/>
        <w:right w:val="none" w:sz="0" w:space="0" w:color="auto"/>
      </w:divBdr>
    </w:div>
    <w:div w:id="480736339">
      <w:marLeft w:val="0"/>
      <w:marRight w:val="0"/>
      <w:marTop w:val="0"/>
      <w:marBottom w:val="0"/>
      <w:divBdr>
        <w:top w:val="none" w:sz="0" w:space="0" w:color="auto"/>
        <w:left w:val="none" w:sz="0" w:space="0" w:color="auto"/>
        <w:bottom w:val="none" w:sz="0" w:space="0" w:color="auto"/>
        <w:right w:val="none" w:sz="0" w:space="0" w:color="auto"/>
      </w:divBdr>
    </w:div>
    <w:div w:id="480736342">
      <w:marLeft w:val="0"/>
      <w:marRight w:val="0"/>
      <w:marTop w:val="0"/>
      <w:marBottom w:val="0"/>
      <w:divBdr>
        <w:top w:val="none" w:sz="0" w:space="0" w:color="auto"/>
        <w:left w:val="none" w:sz="0" w:space="0" w:color="auto"/>
        <w:bottom w:val="none" w:sz="0" w:space="0" w:color="auto"/>
        <w:right w:val="none" w:sz="0" w:space="0" w:color="auto"/>
      </w:divBdr>
    </w:div>
    <w:div w:id="4807363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pchitaichinh.vn/tags/IGRvYW5oIG5naGnhu4dw/doanh-nghiep.html" TargetMode="External"/><Relationship Id="rId3" Type="http://schemas.openxmlformats.org/officeDocument/2006/relationships/settings" Target="settings.xml"/><Relationship Id="rId7" Type="http://schemas.openxmlformats.org/officeDocument/2006/relationships/hyperlink" Target="http://tapchitaichinh.vn/tags/Q2h14bqpbiBt4buxYyBr4bq_IHRvw6Fu/chuan-muc-ke-toa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killport.books24x7.com/books.asp?imprintid=35" TargetMode="External"/><Relationship Id="rId4" Type="http://schemas.openxmlformats.org/officeDocument/2006/relationships/webSettings" Target="webSettings.xml"/><Relationship Id="rId9" Type="http://schemas.openxmlformats.org/officeDocument/2006/relationships/hyperlink" Target="http://tapchitaichinh.vn/tags/IGvhur8gdG_DoW4gdmnDqm4=/ke-toan-vi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34</Pages>
  <Words>11698</Words>
  <Characters>-32766</Characters>
  <Application>Microsoft Office Outlook</Application>
  <DocSecurity>0</DocSecurity>
  <Lines>0</Lines>
  <Paragraphs>0</Paragraphs>
  <ScaleCrop>false</ScaleCrop>
  <Company>Tel: 04.37689886</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MỞ ĐẦU</dc:title>
  <dc:subject/>
  <dc:creator>Administrator</dc:creator>
  <cp:keywords/>
  <dc:description/>
  <cp:lastModifiedBy>www.tanbaothien.vn</cp:lastModifiedBy>
  <cp:revision>2</cp:revision>
  <dcterms:created xsi:type="dcterms:W3CDTF">2019-04-12T01:36:00Z</dcterms:created>
  <dcterms:modified xsi:type="dcterms:W3CDTF">2019-04-12T01:36:00Z</dcterms:modified>
</cp:coreProperties>
</file>